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41F6" w:rsidRDefault="00D950BE">
      <w:pPr>
        <w:spacing w:line="480" w:lineRule="auto"/>
        <w:rPr>
          <w:rFonts w:ascii="Times New Roman" w:hAnsi="Times New Roman" w:cs="Times New Roman"/>
          <w:b/>
          <w:bCs/>
          <w:sz w:val="24"/>
          <w:szCs w:val="24"/>
        </w:rPr>
      </w:pPr>
      <w:r>
        <w:rPr>
          <w:rFonts w:ascii="Times New Roman" w:hAnsi="Times New Roman" w:cs="Times New Roman"/>
          <w:b/>
          <w:bCs/>
          <w:sz w:val="24"/>
          <w:szCs w:val="24"/>
        </w:rPr>
        <w:t>Single-cell RNA sequencing identifies critical transcription factors of tumor cell invasion induced by hypoxia microenvironment in glioblastoma</w:t>
      </w:r>
    </w:p>
    <w:p w:rsidR="00EA41F6" w:rsidRDefault="00D950BE">
      <w:pPr>
        <w:spacing w:line="360" w:lineRule="auto"/>
        <w:rPr>
          <w:rFonts w:ascii="Times New Roman" w:hAnsi="Times New Roman" w:cs="Times New Roman"/>
          <w:color w:val="000000"/>
          <w:szCs w:val="21"/>
          <w:vertAlign w:val="superscript"/>
        </w:rPr>
      </w:pPr>
      <w:r>
        <w:rPr>
          <w:rFonts w:ascii="Times New Roman" w:hAnsi="Times New Roman" w:hint="eastAsia"/>
          <w:sz w:val="24"/>
          <w:szCs w:val="24"/>
        </w:rPr>
        <w:t>Y</w:t>
      </w:r>
      <w:r>
        <w:rPr>
          <w:rFonts w:ascii="Times New Roman" w:hAnsi="Times New Roman"/>
          <w:sz w:val="24"/>
          <w:szCs w:val="24"/>
        </w:rPr>
        <w:t>anru Zhang</w:t>
      </w:r>
      <w:r>
        <w:rPr>
          <w:rFonts w:ascii="Times New Roman" w:hAnsi="Times New Roman"/>
          <w:sz w:val="24"/>
          <w:szCs w:val="24"/>
          <w:vertAlign w:val="superscript"/>
        </w:rPr>
        <w:t>1,#</w:t>
      </w:r>
      <w:r>
        <w:rPr>
          <w:rFonts w:ascii="Times New Roman" w:hAnsi="Times New Roman"/>
          <w:sz w:val="24"/>
          <w:szCs w:val="24"/>
        </w:rPr>
        <w:t xml:space="preserve">, </w:t>
      </w:r>
      <w:r>
        <w:rPr>
          <w:rFonts w:ascii="Times New Roman" w:hAnsi="Times New Roman" w:hint="eastAsia"/>
          <w:sz w:val="24"/>
          <w:szCs w:val="24"/>
        </w:rPr>
        <w:t>Bo</w:t>
      </w:r>
      <w:r>
        <w:rPr>
          <w:rFonts w:ascii="Times New Roman" w:hAnsi="Times New Roman"/>
          <w:sz w:val="24"/>
          <w:szCs w:val="24"/>
        </w:rPr>
        <w:t xml:space="preserve"> Zhang</w:t>
      </w:r>
      <w:r>
        <w:rPr>
          <w:rFonts w:ascii="Times New Roman" w:hAnsi="Times New Roman"/>
          <w:sz w:val="24"/>
          <w:szCs w:val="24"/>
          <w:vertAlign w:val="superscript"/>
        </w:rPr>
        <w:t>2,#</w:t>
      </w:r>
      <w:r>
        <w:rPr>
          <w:rFonts w:ascii="Times New Roman" w:hAnsi="Times New Roman"/>
          <w:sz w:val="24"/>
          <w:szCs w:val="24"/>
        </w:rPr>
        <w:t>, C</w:t>
      </w:r>
      <w:r>
        <w:rPr>
          <w:rFonts w:ascii="Times New Roman" w:hAnsi="Times New Roman" w:hint="eastAsia"/>
          <w:sz w:val="24"/>
          <w:szCs w:val="24"/>
        </w:rPr>
        <w:t>hengqian</w:t>
      </w:r>
      <w:r>
        <w:rPr>
          <w:rFonts w:ascii="Times New Roman" w:hAnsi="Times New Roman"/>
          <w:sz w:val="24"/>
          <w:szCs w:val="24"/>
        </w:rPr>
        <w:t xml:space="preserve"> </w:t>
      </w:r>
      <w:r>
        <w:rPr>
          <w:rFonts w:ascii="Times New Roman" w:hAnsi="Times New Roman" w:hint="eastAsia"/>
          <w:sz w:val="24"/>
          <w:szCs w:val="24"/>
        </w:rPr>
        <w:t>Lv</w:t>
      </w:r>
      <w:r>
        <w:rPr>
          <w:rFonts w:ascii="Times New Roman" w:hAnsi="Times New Roman"/>
          <w:sz w:val="24"/>
          <w:szCs w:val="24"/>
          <w:vertAlign w:val="superscript"/>
        </w:rPr>
        <w:t>3,#</w:t>
      </w:r>
      <w:r>
        <w:rPr>
          <w:rFonts w:ascii="Times New Roman" w:hAnsi="Times New Roman"/>
          <w:sz w:val="24"/>
          <w:szCs w:val="24"/>
        </w:rPr>
        <w:t>,</w:t>
      </w:r>
      <w:r>
        <w:t xml:space="preserve"> </w:t>
      </w:r>
      <w:bookmarkStart w:id="0" w:name="_Hlk135416598"/>
      <w:r>
        <w:rPr>
          <w:rFonts w:ascii="Times New Roman" w:hAnsi="Times New Roman"/>
          <w:sz w:val="24"/>
          <w:szCs w:val="24"/>
        </w:rPr>
        <w:t>Nan Zhang</w:t>
      </w:r>
      <w:r>
        <w:rPr>
          <w:rFonts w:ascii="Times New Roman" w:hAnsi="Times New Roman"/>
          <w:color w:val="000000" w:themeColor="text1"/>
          <w:sz w:val="28"/>
          <w:szCs w:val="28"/>
          <w:vertAlign w:val="superscript"/>
        </w:rPr>
        <w:t>4</w:t>
      </w:r>
      <w:r>
        <w:rPr>
          <w:rFonts w:ascii="Times New Roman" w:hAnsi="Times New Roman" w:hint="eastAsia"/>
          <w:sz w:val="28"/>
          <w:szCs w:val="28"/>
          <w:vertAlign w:val="superscript"/>
        </w:rPr>
        <w:t>,</w:t>
      </w:r>
      <w:r>
        <w:rPr>
          <w:rFonts w:ascii="Times New Roman" w:hAnsi="Times New Roman"/>
          <w:sz w:val="28"/>
          <w:szCs w:val="28"/>
          <w:vertAlign w:val="superscript"/>
        </w:rPr>
        <w:t>#</w:t>
      </w:r>
      <w:bookmarkEnd w:id="0"/>
      <w:r>
        <w:rPr>
          <w:rFonts w:ascii="Times New Roman" w:hAnsi="Times New Roman"/>
          <w:sz w:val="24"/>
          <w:szCs w:val="24"/>
        </w:rPr>
        <w:t>, Kaiyuan Xing</w:t>
      </w:r>
      <w:r>
        <w:rPr>
          <w:rFonts w:ascii="Times New Roman" w:hAnsi="Times New Roman"/>
          <w:sz w:val="24"/>
          <w:szCs w:val="24"/>
          <w:vertAlign w:val="superscript"/>
        </w:rPr>
        <w:t>1</w:t>
      </w:r>
      <w:r>
        <w:rPr>
          <w:rFonts w:ascii="Times New Roman" w:hAnsi="Times New Roman"/>
          <w:sz w:val="24"/>
          <w:szCs w:val="24"/>
        </w:rPr>
        <w:t>, Zixuan Wang</w:t>
      </w:r>
      <w:r>
        <w:rPr>
          <w:rFonts w:ascii="Times New Roman" w:hAnsi="Times New Roman"/>
          <w:sz w:val="24"/>
          <w:szCs w:val="24"/>
          <w:vertAlign w:val="superscript"/>
        </w:rPr>
        <w:t>1</w:t>
      </w:r>
      <w:r>
        <w:rPr>
          <w:rFonts w:ascii="Times New Roman" w:hAnsi="Times New Roman"/>
          <w:sz w:val="24"/>
          <w:szCs w:val="24"/>
        </w:rPr>
        <w:t>, Rongkai Lv</w:t>
      </w:r>
      <w:r>
        <w:rPr>
          <w:rFonts w:ascii="Times New Roman" w:hAnsi="Times New Roman"/>
          <w:sz w:val="24"/>
          <w:szCs w:val="24"/>
          <w:vertAlign w:val="superscript"/>
        </w:rPr>
        <w:t>1</w:t>
      </w:r>
      <w:r>
        <w:rPr>
          <w:rFonts w:ascii="Times New Roman" w:hAnsi="Times New Roman"/>
          <w:sz w:val="24"/>
          <w:szCs w:val="24"/>
        </w:rPr>
        <w:t xml:space="preserve">, </w:t>
      </w:r>
      <w:r>
        <w:rPr>
          <w:rFonts w:ascii="Times New Roman" w:hAnsi="Times New Roman" w:cs="Times New Roman"/>
          <w:sz w:val="24"/>
          <w:szCs w:val="24"/>
        </w:rPr>
        <w:t>Mingchen Yu</w:t>
      </w:r>
      <w:r>
        <w:rPr>
          <w:rFonts w:ascii="Times New Roman" w:hAnsi="Times New Roman" w:cs="Times New Roman"/>
          <w:color w:val="000000" w:themeColor="text1"/>
          <w:sz w:val="24"/>
          <w:szCs w:val="21"/>
          <w:vertAlign w:val="superscript"/>
        </w:rPr>
        <w:t>5</w:t>
      </w:r>
      <w:r>
        <w:rPr>
          <w:rFonts w:ascii="Times New Roman" w:hAnsi="Times New Roman" w:cs="Times New Roman"/>
          <w:color w:val="000000" w:themeColor="text1"/>
          <w:szCs w:val="21"/>
          <w:vertAlign w:val="superscript"/>
        </w:rPr>
        <w:t>,</w:t>
      </w:r>
      <w:r>
        <w:rPr>
          <w:rFonts w:ascii="Times New Roman" w:hAnsi="Times New Roman" w:cs="Times New Roman"/>
          <w:color w:val="000000"/>
          <w:szCs w:val="21"/>
          <w:vertAlign w:val="superscript"/>
        </w:rPr>
        <w:t>*</w:t>
      </w:r>
      <w:r>
        <w:rPr>
          <w:rFonts w:ascii="Times New Roman" w:hAnsi="Times New Roman" w:hint="eastAsia"/>
          <w:sz w:val="24"/>
          <w:szCs w:val="24"/>
        </w:rPr>
        <w:t>,</w:t>
      </w:r>
      <w:r>
        <w:rPr>
          <w:rFonts w:ascii="Times New Roman" w:hAnsi="Times New Roman"/>
          <w:sz w:val="24"/>
          <w:szCs w:val="24"/>
        </w:rPr>
        <w:t xml:space="preserve"> Chaohan Xu</w:t>
      </w:r>
      <w:r>
        <w:rPr>
          <w:rFonts w:ascii="Times New Roman" w:hAnsi="Times New Roman"/>
          <w:sz w:val="24"/>
          <w:szCs w:val="24"/>
          <w:vertAlign w:val="superscript"/>
        </w:rPr>
        <w:t>1,</w:t>
      </w:r>
      <w:r>
        <w:rPr>
          <w:rFonts w:ascii="Times New Roman" w:hAnsi="Times New Roman" w:cs="Times New Roman"/>
          <w:color w:val="000000"/>
          <w:szCs w:val="21"/>
          <w:vertAlign w:val="superscript"/>
        </w:rPr>
        <w:t>*</w:t>
      </w:r>
      <w:r>
        <w:rPr>
          <w:rFonts w:ascii="Times New Roman" w:hAnsi="Times New Roman"/>
          <w:sz w:val="24"/>
          <w:szCs w:val="24"/>
        </w:rPr>
        <w:t>, Yihan Wang</w:t>
      </w:r>
      <w:r>
        <w:rPr>
          <w:rFonts w:ascii="Times New Roman" w:hAnsi="Times New Roman"/>
          <w:sz w:val="24"/>
          <w:szCs w:val="24"/>
          <w:vertAlign w:val="superscript"/>
        </w:rPr>
        <w:t>1</w:t>
      </w:r>
      <w:r>
        <w:rPr>
          <w:rFonts w:ascii="Times New Roman" w:hAnsi="Times New Roman" w:cs="Times New Roman"/>
          <w:color w:val="000000"/>
          <w:szCs w:val="21"/>
          <w:vertAlign w:val="superscript"/>
        </w:rPr>
        <w:t>,*</w:t>
      </w:r>
    </w:p>
    <w:p w:rsidR="00EA41F6" w:rsidRDefault="00D950BE">
      <w:pPr>
        <w:widowControl/>
        <w:jc w:val="left"/>
        <w:rPr>
          <w:rFonts w:ascii="宋体" w:eastAsia="宋体" w:hAnsi="宋体" w:cs="宋体"/>
          <w:kern w:val="0"/>
          <w:sz w:val="24"/>
          <w:szCs w:val="24"/>
        </w:rPr>
      </w:pPr>
      <w:r>
        <w:rPr>
          <w:rFonts w:ascii="Times New Roman" w:eastAsia="宋体" w:hAnsi="Times New Roman" w:cs="Times New Roman"/>
          <w:color w:val="000000"/>
          <w:kern w:val="0"/>
          <w:sz w:val="24"/>
          <w:szCs w:val="24"/>
          <w:vertAlign w:val="superscript"/>
        </w:rPr>
        <w:t>1</w:t>
      </w:r>
      <w:r>
        <w:rPr>
          <w:rFonts w:ascii="Times New Roman" w:eastAsia="宋体" w:hAnsi="Times New Roman" w:cs="Times New Roman"/>
          <w:color w:val="000000"/>
          <w:kern w:val="0"/>
          <w:sz w:val="24"/>
          <w:szCs w:val="24"/>
        </w:rPr>
        <w:t xml:space="preserve"> College of Bioinformatics Science and Technology, Harbin Medical University, </w:t>
      </w:r>
    </w:p>
    <w:p w:rsidR="00EA41F6" w:rsidRDefault="00D950BE">
      <w:pPr>
        <w:spacing w:line="360" w:lineRule="auto"/>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Harbin, 150081, China.</w:t>
      </w:r>
    </w:p>
    <w:p w:rsidR="00EA41F6" w:rsidRDefault="00D950BE">
      <w:pPr>
        <w:spacing w:line="360" w:lineRule="auto"/>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vertAlign w:val="superscript"/>
        </w:rPr>
        <w:t xml:space="preserve">2 </w:t>
      </w:r>
      <w:r>
        <w:rPr>
          <w:rFonts w:ascii="Times New Roman" w:eastAsia="宋体" w:hAnsi="Times New Roman" w:cs="Times New Roman"/>
          <w:color w:val="000000"/>
          <w:kern w:val="0"/>
          <w:sz w:val="24"/>
          <w:szCs w:val="24"/>
        </w:rPr>
        <w:t>Department of Pharmacology, State-Province Key Laboratories of Biomedicine-Pharmaceutics of China, Key Laboratory of Cardiovascular Medicine Research, Ministry of Education, College of Pharmacy, Harbin Medical University, Harbin, 150081, China.</w:t>
      </w:r>
    </w:p>
    <w:p w:rsidR="00EA41F6" w:rsidRDefault="00D950BE">
      <w:pPr>
        <w:spacing w:line="360" w:lineRule="auto"/>
        <w:rPr>
          <w:rFonts w:ascii="Times New Roman" w:hAnsi="Times New Roman"/>
          <w:sz w:val="24"/>
          <w:szCs w:val="24"/>
        </w:rPr>
      </w:pPr>
      <w:r>
        <w:rPr>
          <w:rFonts w:ascii="Times New Roman" w:hAnsi="Times New Roman"/>
          <w:sz w:val="24"/>
          <w:szCs w:val="24"/>
          <w:vertAlign w:val="superscript"/>
        </w:rPr>
        <w:t>3</w:t>
      </w:r>
      <w:r>
        <w:rPr>
          <w:rFonts w:ascii="Times New Roman" w:hAnsi="Times New Roman"/>
          <w:sz w:val="24"/>
          <w:szCs w:val="24"/>
        </w:rPr>
        <w:t xml:space="preserve"> </w:t>
      </w:r>
      <w:bookmarkStart w:id="1" w:name="OLE_LINK1"/>
      <w:r>
        <w:rPr>
          <w:rFonts w:ascii="Times New Roman" w:hAnsi="Times New Roman"/>
          <w:sz w:val="24"/>
          <w:szCs w:val="24"/>
        </w:rPr>
        <w:t>Department of Gastroenterology and Hepatology</w:t>
      </w:r>
      <w:bookmarkEnd w:id="1"/>
      <w:r>
        <w:rPr>
          <w:rFonts w:ascii="Times New Roman" w:hAnsi="Times New Roman"/>
          <w:sz w:val="24"/>
          <w:szCs w:val="24"/>
        </w:rPr>
        <w:t>, The Second Affiliated Hospital of Harbin Medical University, Harbin, 150086, China</w:t>
      </w:r>
    </w:p>
    <w:p w:rsidR="00EA41F6" w:rsidRDefault="00D950BE">
      <w:pPr>
        <w:spacing w:line="360" w:lineRule="auto"/>
        <w:rPr>
          <w:rFonts w:ascii="Times New Roman" w:hAnsi="Times New Roman"/>
          <w:sz w:val="24"/>
          <w:szCs w:val="24"/>
        </w:rPr>
      </w:pPr>
      <w:r>
        <w:rPr>
          <w:rFonts w:ascii="Times New Roman" w:hAnsi="Times New Roman"/>
          <w:sz w:val="24"/>
          <w:szCs w:val="24"/>
          <w:vertAlign w:val="superscript"/>
        </w:rPr>
        <w:t>4</w:t>
      </w:r>
      <w:r>
        <w:rPr>
          <w:rFonts w:ascii="Times New Roman" w:hAnsi="Times New Roman"/>
          <w:sz w:val="24"/>
          <w:szCs w:val="24"/>
        </w:rPr>
        <w:t xml:space="preserve"> College of Life Science and Technology, Huazhong University of Science and Technology, China.</w:t>
      </w:r>
    </w:p>
    <w:p w:rsidR="00EA41F6" w:rsidRDefault="00D950BE">
      <w:pPr>
        <w:spacing w:line="360" w:lineRule="auto"/>
        <w:rPr>
          <w:rFonts w:ascii="Times New Roman" w:hAnsi="Times New Roman"/>
          <w:sz w:val="24"/>
          <w:szCs w:val="24"/>
        </w:rPr>
      </w:pPr>
      <w:r>
        <w:rPr>
          <w:rFonts w:ascii="Times New Roman" w:hAnsi="Times New Roman"/>
          <w:sz w:val="24"/>
          <w:szCs w:val="24"/>
          <w:vertAlign w:val="superscript"/>
        </w:rPr>
        <w:t xml:space="preserve">5 </w:t>
      </w:r>
      <w:r>
        <w:rPr>
          <w:rFonts w:ascii="Times New Roman" w:hAnsi="Times New Roman"/>
          <w:sz w:val="24"/>
          <w:szCs w:val="24"/>
        </w:rPr>
        <w:t>Beijing Neurosurgical Institute, Capital Medical University. Beijing 100069, China.</w:t>
      </w:r>
    </w:p>
    <w:p w:rsidR="00EA41F6" w:rsidRDefault="00D950BE">
      <w:pPr>
        <w:tabs>
          <w:tab w:val="left" w:pos="4812"/>
        </w:tabs>
        <w:spacing w:line="360" w:lineRule="auto"/>
        <w:rPr>
          <w:rFonts w:ascii="Times New Roman" w:hAnsi="Times New Roman" w:cs="Times New Roman"/>
          <w:color w:val="000000"/>
          <w:sz w:val="24"/>
          <w:szCs w:val="24"/>
        </w:rPr>
      </w:pPr>
      <w:r>
        <w:rPr>
          <w:rFonts w:ascii="Times New Roman" w:hAnsi="Times New Roman"/>
          <w:sz w:val="24"/>
          <w:szCs w:val="24"/>
          <w:vertAlign w:val="superscript"/>
        </w:rPr>
        <w:t xml:space="preserve"># </w:t>
      </w:r>
      <w:r>
        <w:rPr>
          <w:rFonts w:ascii="Times New Roman" w:hAnsi="Times New Roman" w:cs="Times New Roman"/>
          <w:color w:val="000000"/>
          <w:sz w:val="24"/>
          <w:szCs w:val="24"/>
        </w:rPr>
        <w:t>These authors contributed equally.</w:t>
      </w:r>
    </w:p>
    <w:p w:rsidR="00EA41F6" w:rsidRDefault="00D950BE">
      <w:pPr>
        <w:spacing w:line="360" w:lineRule="auto"/>
        <w:rPr>
          <w:rFonts w:ascii="Times New Roman" w:hAnsi="Times New Roman"/>
          <w:sz w:val="24"/>
          <w:szCs w:val="24"/>
        </w:rPr>
      </w:pPr>
      <w:r>
        <w:rPr>
          <w:rFonts w:ascii="Times New Roman" w:hAnsi="Times New Roman" w:cs="Times New Roman"/>
          <w:color w:val="000000"/>
          <w:sz w:val="24"/>
          <w:szCs w:val="21"/>
          <w:vertAlign w:val="superscript"/>
        </w:rPr>
        <w:t>*</w:t>
      </w:r>
      <w:r>
        <w:rPr>
          <w:rFonts w:ascii="Times New Roman" w:hAnsi="Times New Roman"/>
          <w:sz w:val="24"/>
          <w:szCs w:val="24"/>
        </w:rPr>
        <w:t xml:space="preserve"> Corresponding authors: </w:t>
      </w:r>
    </w:p>
    <w:p w:rsidR="00EA41F6" w:rsidRDefault="00D950BE">
      <w:pPr>
        <w:spacing w:line="360" w:lineRule="auto"/>
        <w:rPr>
          <w:rFonts w:ascii="Times New Roman" w:hAnsi="Times New Roman"/>
          <w:sz w:val="24"/>
          <w:szCs w:val="24"/>
        </w:rPr>
      </w:pPr>
      <w:r>
        <w:rPr>
          <w:rFonts w:ascii="Times New Roman" w:hAnsi="Times New Roman"/>
          <w:sz w:val="24"/>
          <w:szCs w:val="24"/>
        </w:rPr>
        <w:t>Yihan Wang,</w:t>
      </w:r>
      <w:r>
        <w:t xml:space="preserve"> </w:t>
      </w:r>
      <w:r>
        <w:rPr>
          <w:rFonts w:ascii="Times New Roman" w:hAnsi="Times New Roman"/>
          <w:sz w:val="24"/>
          <w:szCs w:val="24"/>
        </w:rPr>
        <w:t xml:space="preserve">College of Bioinformatics Science and Technology, Harbin Medical University, Email: wangyihan@hrbmu.edu.cn; </w:t>
      </w:r>
    </w:p>
    <w:p w:rsidR="00EA41F6" w:rsidRDefault="00D950BE">
      <w:pPr>
        <w:spacing w:line="360" w:lineRule="auto"/>
        <w:rPr>
          <w:rFonts w:ascii="Times New Roman" w:hAnsi="Times New Roman"/>
          <w:sz w:val="24"/>
          <w:szCs w:val="24"/>
        </w:rPr>
      </w:pPr>
      <w:r>
        <w:rPr>
          <w:rFonts w:ascii="Times New Roman" w:hAnsi="Times New Roman"/>
          <w:sz w:val="24"/>
          <w:szCs w:val="24"/>
        </w:rPr>
        <w:t xml:space="preserve">Chaohan Xu, College of Bioinformatics Science and Technology, Harbin Medical University, Email: chaohanxu@hrbmu.edu.cn; </w:t>
      </w:r>
    </w:p>
    <w:p w:rsidR="00EA41F6" w:rsidRDefault="00D950BE">
      <w:pPr>
        <w:spacing w:line="360" w:lineRule="auto"/>
        <w:rPr>
          <w:rFonts w:ascii="Times New Roman" w:hAnsi="Times New Roman"/>
          <w:sz w:val="24"/>
          <w:szCs w:val="24"/>
        </w:rPr>
      </w:pPr>
      <w:r>
        <w:rPr>
          <w:rFonts w:ascii="Times New Roman" w:hAnsi="Times New Roman" w:cs="Times New Roman"/>
          <w:sz w:val="24"/>
          <w:szCs w:val="24"/>
        </w:rPr>
        <w:t>Mingchen Yu, Beijing Neurosurgical Institute, Capital Medical University. Email: yumc@mail.ccmu.edu.cn</w:t>
      </w:r>
    </w:p>
    <w:p w:rsidR="00EA41F6" w:rsidRDefault="00EA41F6">
      <w:pPr>
        <w:spacing w:line="48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74945" cy="4367530"/>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 cstate="hqprint"/>
                    <a:srcRect/>
                    <a:stretch>
                      <a:fillRect/>
                    </a:stretch>
                  </pic:blipFill>
                  <pic:spPr>
                    <a:xfrm>
                      <a:off x="0" y="0"/>
                      <a:ext cx="5274945" cy="4367530"/>
                    </a:xfrm>
                    <a:prstGeom prst="rect">
                      <a:avLst/>
                    </a:prstGeom>
                    <a:noFill/>
                    <a:ln>
                      <a:noFill/>
                    </a:ln>
                  </pic:spPr>
                </pic:pic>
              </a:graphicData>
            </a:graphic>
          </wp:inline>
        </w:drawing>
      </w:r>
    </w:p>
    <w:p w:rsidR="00EA41F6" w:rsidRDefault="00D950BE">
      <w:pPr>
        <w:spacing w:line="360" w:lineRule="auto"/>
        <w:rPr>
          <w:rFonts w:ascii="Times New Roman" w:hAnsi="Times New Roman" w:cs="Times New Roman"/>
          <w:sz w:val="24"/>
          <w:szCs w:val="24"/>
        </w:rPr>
      </w:pPr>
      <w:bookmarkStart w:id="2" w:name="_Hlk135591327"/>
      <w:r>
        <w:rPr>
          <w:rFonts w:ascii="Times New Roman" w:hAnsi="Times New Roman" w:cs="Times New Roman"/>
          <w:b/>
          <w:bCs/>
          <w:sz w:val="24"/>
          <w:szCs w:val="24"/>
        </w:rPr>
        <w:t xml:space="preserve">Supplementary Figure S1 Evaluation of </w:t>
      </w:r>
      <w:r w:rsidR="004554A9">
        <w:rPr>
          <w:rFonts w:ascii="Times New Roman" w:hAnsi="Times New Roman" w:cs="Times New Roman"/>
          <w:b/>
          <w:bCs/>
          <w:sz w:val="24"/>
          <w:szCs w:val="24"/>
        </w:rPr>
        <w:t>CHPF</w:t>
      </w:r>
      <w:r>
        <w:rPr>
          <w:rFonts w:ascii="Times New Roman" w:hAnsi="Times New Roman" w:cs="Times New Roman"/>
          <w:b/>
          <w:bCs/>
          <w:sz w:val="24"/>
          <w:szCs w:val="24"/>
        </w:rPr>
        <w:t xml:space="preserve"> </w:t>
      </w:r>
      <w:r w:rsidR="004554A9">
        <w:rPr>
          <w:rFonts w:ascii="Times New Roman" w:hAnsi="Times New Roman" w:cs="Times New Roman"/>
          <w:b/>
          <w:bCs/>
          <w:sz w:val="24"/>
          <w:szCs w:val="24"/>
        </w:rPr>
        <w:t>p</w:t>
      </w:r>
      <w:r>
        <w:rPr>
          <w:rFonts w:ascii="Times New Roman" w:hAnsi="Times New Roman" w:cs="Times New Roman"/>
          <w:b/>
          <w:bCs/>
          <w:sz w:val="24"/>
          <w:szCs w:val="24"/>
        </w:rPr>
        <w:t xml:space="preserve">erformance. </w:t>
      </w:r>
      <w:r>
        <w:rPr>
          <w:rFonts w:ascii="Times New Roman" w:hAnsi="Times New Roman" w:cs="Times New Roman"/>
          <w:sz w:val="24"/>
          <w:szCs w:val="24"/>
        </w:rPr>
        <w:t xml:space="preserve">(A) Correlations between hypoxia scores for seven gene sets in GSE117891 (left), GSE125587 (median), and GSE131928 (right). (B) Cells of high (low) hypoxic score group in different dataset of </w:t>
      </w:r>
      <w:r>
        <w:rPr>
          <w:rFonts w:ascii="Times New Roman" w:hAnsi="Times New Roman" w:cs="Times New Roman" w:hint="eastAsia"/>
          <w:sz w:val="24"/>
          <w:szCs w:val="24"/>
        </w:rPr>
        <w:t>GSE</w:t>
      </w:r>
      <w:r>
        <w:rPr>
          <w:rFonts w:ascii="Times New Roman" w:hAnsi="Times New Roman" w:cs="Times New Roman"/>
          <w:sz w:val="24"/>
          <w:szCs w:val="24"/>
        </w:rPr>
        <w:t>117891 (</w:t>
      </w:r>
      <w:r>
        <w:rPr>
          <w:rFonts w:ascii="Times New Roman" w:hAnsi="Times New Roman" w:cs="Times New Roman" w:hint="eastAsia"/>
          <w:sz w:val="24"/>
          <w:szCs w:val="24"/>
        </w:rPr>
        <w:t>le</w:t>
      </w:r>
      <w:r>
        <w:rPr>
          <w:rFonts w:ascii="Times New Roman" w:hAnsi="Times New Roman" w:cs="Times New Roman"/>
          <w:sz w:val="24"/>
          <w:szCs w:val="24"/>
        </w:rPr>
        <w:t>ft), GSE125587 (median), and GSE131928 (right). (C) Performance evaluation of the CHPF in different dataset</w:t>
      </w:r>
      <w:r w:rsidR="00536F8C">
        <w:rPr>
          <w:rFonts w:ascii="Times New Roman" w:hAnsi="Times New Roman" w:cs="Times New Roman" w:hint="eastAsia"/>
          <w:sz w:val="24"/>
          <w:szCs w:val="24"/>
        </w:rPr>
        <w:t>s</w:t>
      </w:r>
      <w:r>
        <w:rPr>
          <w:rFonts w:ascii="Times New Roman" w:hAnsi="Times New Roman" w:cs="Times New Roman"/>
          <w:sz w:val="24"/>
          <w:szCs w:val="24"/>
        </w:rPr>
        <w:t xml:space="preserve"> about GSE117891 (left), GSE125587 (median), and GSE131928 (right). </w:t>
      </w:r>
    </w:p>
    <w:bookmarkEnd w:id="2"/>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74310" cy="3900170"/>
            <wp:effectExtent l="0" t="0" r="254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7" cstate="hqprint"/>
                    <a:srcRect/>
                    <a:stretch>
                      <a:fillRect/>
                    </a:stretch>
                  </pic:blipFill>
                  <pic:spPr>
                    <a:xfrm>
                      <a:off x="0" y="0"/>
                      <a:ext cx="5274310" cy="3900170"/>
                    </a:xfrm>
                    <a:prstGeom prst="rect">
                      <a:avLst/>
                    </a:prstGeom>
                    <a:noFill/>
                    <a:ln>
                      <a:noFill/>
                    </a:ln>
                  </pic:spPr>
                </pic:pic>
              </a:graphicData>
            </a:graphic>
          </wp:inline>
        </w:drawing>
      </w:r>
    </w:p>
    <w:p w:rsidR="00EA41F6" w:rsidRDefault="00D950BE">
      <w:pPr>
        <w:spacing w:line="360" w:lineRule="auto"/>
        <w:rPr>
          <w:rFonts w:ascii="Times New Roman" w:hAnsi="Times New Roman" w:cs="Times New Roman"/>
          <w:b/>
          <w:bCs/>
          <w:sz w:val="24"/>
          <w:szCs w:val="24"/>
        </w:rPr>
      </w:pPr>
      <w:bookmarkStart w:id="3" w:name="_Hlk135591360"/>
      <w:r>
        <w:rPr>
          <w:rFonts w:ascii="Times New Roman" w:hAnsi="Times New Roman" w:cs="Times New Roman"/>
          <w:b/>
          <w:bCs/>
          <w:sz w:val="24"/>
          <w:szCs w:val="24"/>
        </w:rPr>
        <w:t xml:space="preserve">Supplementary Figure S2 Distribution of hypoxic cells in GSE117891. </w:t>
      </w:r>
      <w:r>
        <w:rPr>
          <w:rFonts w:ascii="Times New Roman" w:hAnsi="Times New Roman" w:cs="Times New Roman"/>
          <w:sz w:val="24"/>
          <w:szCs w:val="24"/>
        </w:rPr>
        <w:t>(A) UMAP plot of all the 6,148 single cells in GBMs. (B) UMAP plot of all single cells</w:t>
      </w:r>
      <w:r w:rsidR="005E6867">
        <w:rPr>
          <w:rFonts w:ascii="Times New Roman" w:hAnsi="Times New Roman" w:cs="Times New Roman" w:hint="eastAsia"/>
          <w:sz w:val="24"/>
          <w:szCs w:val="24"/>
        </w:rPr>
        <w:t>,</w:t>
      </w:r>
      <w:r>
        <w:rPr>
          <w:rFonts w:ascii="Times New Roman" w:hAnsi="Times New Roman" w:cs="Times New Roman"/>
          <w:sz w:val="24"/>
          <w:szCs w:val="24"/>
        </w:rPr>
        <w:t xml:space="preserve"> colored by cell types. (C) UMAP plot of all single cells</w:t>
      </w:r>
      <w:r w:rsidR="005E6867">
        <w:rPr>
          <w:rFonts w:ascii="Times New Roman" w:hAnsi="Times New Roman" w:cs="Times New Roman"/>
          <w:sz w:val="24"/>
          <w:szCs w:val="24"/>
        </w:rPr>
        <w:t>,</w:t>
      </w:r>
      <w:r>
        <w:rPr>
          <w:rFonts w:ascii="Times New Roman" w:hAnsi="Times New Roman" w:cs="Times New Roman"/>
          <w:sz w:val="24"/>
          <w:szCs w:val="24"/>
        </w:rPr>
        <w:t xml:space="preserve"> colored by hypoxia status. (</w:t>
      </w:r>
      <w:r>
        <w:rPr>
          <w:rFonts w:ascii="Times New Roman" w:hAnsi="Times New Roman" w:cs="Times New Roman" w:hint="eastAsia"/>
          <w:sz w:val="24"/>
          <w:szCs w:val="24"/>
        </w:rPr>
        <w:t>D</w:t>
      </w:r>
      <w:r>
        <w:rPr>
          <w:rFonts w:ascii="Times New Roman" w:hAnsi="Times New Roman" w:cs="Times New Roman"/>
          <w:sz w:val="24"/>
          <w:szCs w:val="24"/>
        </w:rPr>
        <w:t>) Sankey diagram show</w:t>
      </w:r>
      <w:r w:rsidR="005E6867">
        <w:rPr>
          <w:rFonts w:ascii="Times New Roman" w:hAnsi="Times New Roman" w:cs="Times New Roman"/>
          <w:sz w:val="24"/>
          <w:szCs w:val="24"/>
        </w:rPr>
        <w:t>ed</w:t>
      </w:r>
      <w:r>
        <w:rPr>
          <w:rFonts w:ascii="Times New Roman" w:hAnsi="Times New Roman" w:cs="Times New Roman"/>
          <w:sz w:val="24"/>
          <w:szCs w:val="24"/>
        </w:rPr>
        <w:t xml:space="preserve"> the </w:t>
      </w:r>
      <w:r>
        <w:rPr>
          <w:rFonts w:ascii="Times New Roman" w:hAnsi="Times New Roman" w:cs="Times New Roman" w:hint="eastAsia"/>
          <w:sz w:val="24"/>
          <w:szCs w:val="24"/>
        </w:rPr>
        <w:t>distribution</w:t>
      </w:r>
      <w:r>
        <w:rPr>
          <w:rFonts w:ascii="Times New Roman" w:hAnsi="Times New Roman" w:cs="Times New Roman"/>
          <w:sz w:val="24"/>
          <w:szCs w:val="24"/>
        </w:rPr>
        <w:t xml:space="preserve"> of hypoxic cells across different cell types </w:t>
      </w:r>
      <w:r>
        <w:rPr>
          <w:rFonts w:ascii="Times New Roman" w:hAnsi="Times New Roman" w:cs="Times New Roman" w:hint="eastAsia"/>
          <w:sz w:val="24"/>
          <w:szCs w:val="24"/>
        </w:rPr>
        <w:t>an</w:t>
      </w:r>
      <w:r>
        <w:rPr>
          <w:rFonts w:ascii="Times New Roman" w:hAnsi="Times New Roman" w:cs="Times New Roman"/>
          <w:sz w:val="24"/>
          <w:szCs w:val="24"/>
        </w:rPr>
        <w:t>d tissue regions.</w:t>
      </w:r>
    </w:p>
    <w:bookmarkEnd w:id="3"/>
    <w:p w:rsidR="00EA41F6" w:rsidRDefault="00EA41F6">
      <w:pPr>
        <w:spacing w:line="360" w:lineRule="auto"/>
        <w:rPr>
          <w:rFonts w:ascii="Times New Roman" w:hAnsi="Times New Roman" w:cs="Times New Roman"/>
          <w:sz w:val="24"/>
          <w:szCs w:val="24"/>
        </w:rPr>
      </w:pPr>
    </w:p>
    <w:p w:rsidR="00204ACC" w:rsidRDefault="00204ACC">
      <w:pPr>
        <w:widowControl/>
        <w:jc w:val="left"/>
        <w:rPr>
          <w:rFonts w:ascii="Times New Roman" w:hAnsi="Times New Roman" w:cs="Times New Roman"/>
          <w:sz w:val="24"/>
          <w:szCs w:val="24"/>
        </w:rPr>
      </w:pPr>
      <w:r>
        <w:rPr>
          <w:rFonts w:ascii="Times New Roman" w:hAnsi="Times New Roman" w:cs="Times New Roman"/>
          <w:sz w:val="24"/>
          <w:szCs w:val="24"/>
        </w:rPr>
        <w:br w:type="page"/>
      </w:r>
    </w:p>
    <w:p w:rsidR="00EA41F6" w:rsidRDefault="00EA41F6">
      <w:pPr>
        <w:spacing w:line="360" w:lineRule="auto"/>
        <w:rPr>
          <w:rFonts w:ascii="Times New Roman" w:hAnsi="Times New Roman" w:cs="Times New Roman"/>
          <w:sz w:val="24"/>
          <w:szCs w:val="24"/>
        </w:rPr>
      </w:pPr>
    </w:p>
    <w:p w:rsidR="00EA41F6" w:rsidRDefault="00204ACC">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4310" cy="2609850"/>
            <wp:effectExtent l="0" t="0" r="2540" b="0"/>
            <wp:docPr id="17119336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933687" name="图片 171193368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2609850"/>
                    </a:xfrm>
                    <a:prstGeom prst="rect">
                      <a:avLst/>
                    </a:prstGeom>
                  </pic:spPr>
                </pic:pic>
              </a:graphicData>
            </a:graphic>
          </wp:inline>
        </w:drawing>
      </w:r>
    </w:p>
    <w:p w:rsidR="00EA41F6"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S3 Immune cells </w:t>
      </w:r>
      <w:r w:rsidR="004554A9">
        <w:rPr>
          <w:rFonts w:ascii="Times New Roman" w:hAnsi="Times New Roman" w:cs="Times New Roman"/>
          <w:b/>
          <w:bCs/>
          <w:sz w:val="24"/>
          <w:szCs w:val="24"/>
        </w:rPr>
        <w:t>r</w:t>
      </w:r>
      <w:r>
        <w:rPr>
          <w:rFonts w:ascii="Times New Roman" w:hAnsi="Times New Roman" w:cs="Times New Roman"/>
          <w:b/>
          <w:bCs/>
          <w:sz w:val="24"/>
          <w:szCs w:val="24"/>
        </w:rPr>
        <w:t xml:space="preserve">e-annotation. </w:t>
      </w:r>
      <w:r>
        <w:rPr>
          <w:rFonts w:ascii="Times New Roman" w:hAnsi="Times New Roman" w:cs="Times New Roman"/>
          <w:sz w:val="24"/>
          <w:szCs w:val="24"/>
        </w:rPr>
        <w:t>Canonical marker genes expression level of macrophages and microglia (TMEM119, P2RY12, GPR34, OLFML3, SLC2A5, SALL1, ADORA3 for microglia and CRIP1, S100A8, S100A9, ANXA1, and CD14 for macrophages).</w:t>
      </w: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2405" cy="2208530"/>
            <wp:effectExtent l="0" t="0" r="444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 cstate="hqprint"/>
                    <a:srcRect/>
                    <a:stretch>
                      <a:fillRect/>
                    </a:stretch>
                  </pic:blipFill>
                  <pic:spPr>
                    <a:xfrm>
                      <a:off x="0" y="0"/>
                      <a:ext cx="5272405" cy="2208530"/>
                    </a:xfrm>
                    <a:prstGeom prst="rect">
                      <a:avLst/>
                    </a:prstGeom>
                    <a:noFill/>
                    <a:ln>
                      <a:noFill/>
                    </a:ln>
                  </pic:spPr>
                </pic:pic>
              </a:graphicData>
            </a:graphic>
          </wp:inline>
        </w:drawing>
      </w:r>
    </w:p>
    <w:p w:rsidR="00EA41F6"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w:t>
      </w:r>
      <w:r>
        <w:rPr>
          <w:rFonts w:ascii="Times New Roman" w:hAnsi="Times New Roman" w:cs="Times New Roman" w:hint="eastAsia"/>
          <w:b/>
          <w:bCs/>
          <w:sz w:val="24"/>
          <w:szCs w:val="24"/>
        </w:rPr>
        <w:t>S</w:t>
      </w:r>
      <w:r>
        <w:rPr>
          <w:rFonts w:ascii="Times New Roman" w:hAnsi="Times New Roman" w:cs="Times New Roman"/>
          <w:b/>
          <w:bCs/>
          <w:sz w:val="24"/>
          <w:szCs w:val="24"/>
        </w:rPr>
        <w:t>4 Cell-cell communication between immune cells and tumor cells.</w:t>
      </w:r>
      <w:r>
        <w:rPr>
          <w:rFonts w:ascii="Times New Roman" w:hAnsi="Times New Roman" w:cs="Times New Roman"/>
          <w:sz w:val="24"/>
          <w:szCs w:val="24"/>
        </w:rPr>
        <w:t xml:space="preserve"> (A) Signals incoming and outgoing patterns. (B) SPP1-related signaling networks. Y axis refers to cells that send the signal, whereas x axis refers to cells that receive the signal. </w:t>
      </w: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2405" cy="3783965"/>
            <wp:effectExtent l="0" t="0" r="4445"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 cstate="hqprint"/>
                    <a:srcRect/>
                    <a:stretch>
                      <a:fillRect/>
                    </a:stretch>
                  </pic:blipFill>
                  <pic:spPr>
                    <a:xfrm>
                      <a:off x="0" y="0"/>
                      <a:ext cx="5272405" cy="3783965"/>
                    </a:xfrm>
                    <a:prstGeom prst="rect">
                      <a:avLst/>
                    </a:prstGeom>
                    <a:noFill/>
                    <a:ln>
                      <a:noFill/>
                    </a:ln>
                  </pic:spPr>
                </pic:pic>
              </a:graphicData>
            </a:graphic>
          </wp:inline>
        </w:drawing>
      </w: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w:t>
      </w:r>
      <w:r>
        <w:rPr>
          <w:rFonts w:ascii="Times New Roman" w:hAnsi="Times New Roman" w:cs="Times New Roman" w:hint="eastAsia"/>
          <w:b/>
          <w:bCs/>
          <w:sz w:val="24"/>
          <w:szCs w:val="24"/>
        </w:rPr>
        <w:t>S</w:t>
      </w:r>
      <w:r>
        <w:rPr>
          <w:rFonts w:ascii="Times New Roman" w:hAnsi="Times New Roman" w:cs="Times New Roman"/>
          <w:b/>
          <w:bCs/>
          <w:sz w:val="24"/>
          <w:szCs w:val="24"/>
        </w:rPr>
        <w:t>5 Hypoxia heterogeneity in tumor cells.</w:t>
      </w:r>
      <w:r>
        <w:rPr>
          <w:rFonts w:ascii="Times New Roman" w:hAnsi="Times New Roman" w:cs="Times New Roman"/>
          <w:sz w:val="24"/>
          <w:szCs w:val="24"/>
        </w:rPr>
        <w:t xml:space="preserve"> (A) Correlation analysis of all the tumor cells in hypoxia status </w:t>
      </w:r>
      <w:r w:rsidR="005E6867">
        <w:rPr>
          <w:rFonts w:ascii="Times New Roman" w:hAnsi="Times New Roman" w:cs="Times New Roman"/>
          <w:sz w:val="24"/>
          <w:szCs w:val="24"/>
        </w:rPr>
        <w:t>or</w:t>
      </w:r>
      <w:r>
        <w:rPr>
          <w:rFonts w:ascii="Times New Roman" w:hAnsi="Times New Roman" w:cs="Times New Roman"/>
          <w:sz w:val="24"/>
          <w:szCs w:val="24"/>
        </w:rPr>
        <w:t xml:space="preserve"> normoxi</w:t>
      </w:r>
      <w:r w:rsidR="000E7A44">
        <w:rPr>
          <w:rFonts w:ascii="Times New Roman" w:hAnsi="Times New Roman" w:cs="Times New Roman" w:hint="eastAsia"/>
          <w:sz w:val="24"/>
          <w:szCs w:val="24"/>
        </w:rPr>
        <w:t>a</w:t>
      </w:r>
      <w:r w:rsidR="000E7A44">
        <w:rPr>
          <w:rFonts w:ascii="Times New Roman" w:hAnsi="Times New Roman" w:cs="Times New Roman"/>
          <w:sz w:val="24"/>
          <w:szCs w:val="24"/>
        </w:rPr>
        <w:t xml:space="preserve"> </w:t>
      </w:r>
      <w:r>
        <w:rPr>
          <w:rFonts w:ascii="Times New Roman" w:hAnsi="Times New Roman" w:cs="Times New Roman"/>
          <w:sz w:val="24"/>
          <w:szCs w:val="24"/>
        </w:rPr>
        <w:t>status from four patients. (B) UMAP plot of all the tumor cells (colored by subpopulation</w:t>
      </w:r>
      <w:r w:rsidR="005E6867">
        <w:rPr>
          <w:rFonts w:ascii="Times New Roman" w:hAnsi="Times New Roman" w:cs="Times New Roman"/>
          <w:sz w:val="24"/>
          <w:szCs w:val="24"/>
        </w:rPr>
        <w:t>s</w:t>
      </w:r>
      <w:r>
        <w:rPr>
          <w:rFonts w:ascii="Times New Roman" w:hAnsi="Times New Roman" w:cs="Times New Roman"/>
          <w:sz w:val="24"/>
          <w:szCs w:val="24"/>
        </w:rPr>
        <w:t>). (C) UMAP plot of all the tumor cells (colored by hypoxia score). (D) Hypoxia score</w:t>
      </w:r>
      <w:r w:rsidR="003B7B36">
        <w:rPr>
          <w:rFonts w:ascii="Times New Roman" w:hAnsi="Times New Roman" w:cs="Times New Roman"/>
          <w:sz w:val="24"/>
          <w:szCs w:val="24"/>
        </w:rPr>
        <w:t>s</w:t>
      </w:r>
      <w:r>
        <w:rPr>
          <w:rFonts w:ascii="Times New Roman" w:hAnsi="Times New Roman" w:cs="Times New Roman"/>
          <w:sz w:val="24"/>
          <w:szCs w:val="24"/>
        </w:rPr>
        <w:t xml:space="preserve"> of three hypoxi</w:t>
      </w:r>
      <w:r w:rsidR="000E7A44">
        <w:rPr>
          <w:rFonts w:ascii="Times New Roman" w:hAnsi="Times New Roman" w:cs="Times New Roman" w:hint="eastAsia"/>
          <w:sz w:val="24"/>
          <w:szCs w:val="24"/>
        </w:rPr>
        <w:t>c</w:t>
      </w:r>
      <w:r>
        <w:rPr>
          <w:rFonts w:ascii="Times New Roman" w:hAnsi="Times New Roman" w:cs="Times New Roman"/>
          <w:sz w:val="24"/>
          <w:szCs w:val="24"/>
        </w:rPr>
        <w:t xml:space="preserve"> tumor subpopulations. The P value is calculated by the </w:t>
      </w:r>
      <w:r w:rsidR="003B7B36">
        <w:rPr>
          <w:rFonts w:ascii="Times New Roman" w:hAnsi="Times New Roman" w:cs="Times New Roman"/>
          <w:sz w:val="24"/>
          <w:szCs w:val="24"/>
        </w:rPr>
        <w:t>w</w:t>
      </w:r>
      <w:r>
        <w:rPr>
          <w:rFonts w:ascii="Times New Roman" w:hAnsi="Times New Roman" w:cs="Times New Roman"/>
          <w:sz w:val="24"/>
          <w:szCs w:val="24"/>
        </w:rPr>
        <w:t>ilcoxon rank sum test.</w:t>
      </w: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3B7B36">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74310" cy="248158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6.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2481580"/>
                    </a:xfrm>
                    <a:prstGeom prst="rect">
                      <a:avLst/>
                    </a:prstGeom>
                  </pic:spPr>
                </pic:pic>
              </a:graphicData>
            </a:graphic>
          </wp:inline>
        </w:drawing>
      </w:r>
    </w:p>
    <w:p w:rsidR="00EA41F6"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S6 </w:t>
      </w:r>
      <w:r w:rsidRPr="004554A9">
        <w:rPr>
          <w:rFonts w:ascii="Times New Roman" w:hAnsi="Times New Roman" w:cs="Times New Roman"/>
          <w:b/>
          <w:sz w:val="24"/>
          <w:szCs w:val="24"/>
        </w:rPr>
        <w:t>Metabolic pathway activities in each subpopulation.</w:t>
      </w:r>
      <w:r>
        <w:rPr>
          <w:rFonts w:ascii="Times New Roman" w:hAnsi="Times New Roman" w:cs="Times New Roman"/>
          <w:sz w:val="24"/>
          <w:szCs w:val="24"/>
        </w:rPr>
        <w:t xml:space="preserve"> Statistically non-significant values (random permutation test p &gt; 0.05) </w:t>
      </w:r>
      <w:r w:rsidR="005E6867">
        <w:rPr>
          <w:rFonts w:ascii="Times New Roman" w:hAnsi="Times New Roman" w:cs="Times New Roman"/>
          <w:sz w:val="24"/>
          <w:szCs w:val="24"/>
        </w:rPr>
        <w:t>were</w:t>
      </w:r>
      <w:r>
        <w:rPr>
          <w:rFonts w:ascii="Times New Roman" w:hAnsi="Times New Roman" w:cs="Times New Roman"/>
          <w:sz w:val="24"/>
          <w:szCs w:val="24"/>
        </w:rPr>
        <w:t xml:space="preserve"> shown as blank.</w:t>
      </w:r>
    </w:p>
    <w:p w:rsidR="00EA41F6" w:rsidRDefault="00EA41F6">
      <w:pPr>
        <w:spacing w:line="360" w:lineRule="auto"/>
        <w:rPr>
          <w:rFonts w:ascii="Times New Roman" w:hAnsi="Times New Roman" w:cs="Times New Roman"/>
          <w:sz w:val="24"/>
          <w:szCs w:val="24"/>
        </w:rPr>
      </w:pPr>
    </w:p>
    <w:p w:rsidR="00EA41F6" w:rsidRDefault="00D950BE">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51480" cy="2421890"/>
            <wp:effectExtent l="0" t="0" r="1270" b="0"/>
            <wp:docPr id="7237265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26517" name="图片 1"/>
                    <pic:cNvPicPr>
                      <a:picLocks noChangeAspect="1" noChangeArrowheads="1"/>
                    </pic:cNvPicPr>
                  </pic:nvPicPr>
                  <pic:blipFill>
                    <a:blip r:embed="rId12" cstate="print"/>
                    <a:srcRect/>
                    <a:stretch>
                      <a:fillRect/>
                    </a:stretch>
                  </pic:blipFill>
                  <pic:spPr>
                    <a:xfrm>
                      <a:off x="0" y="0"/>
                      <a:ext cx="2951480" cy="2421890"/>
                    </a:xfrm>
                    <a:prstGeom prst="rect">
                      <a:avLst/>
                    </a:prstGeom>
                    <a:noFill/>
                    <a:ln>
                      <a:noFill/>
                    </a:ln>
                  </pic:spPr>
                </pic:pic>
              </a:graphicData>
            </a:graphic>
          </wp:inline>
        </w:drawing>
      </w:r>
    </w:p>
    <w:p w:rsidR="00EA41F6" w:rsidRPr="00536F8C"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S7 </w:t>
      </w:r>
      <w:r w:rsidR="005E6867" w:rsidRPr="004554A9">
        <w:rPr>
          <w:rFonts w:ascii="Times New Roman" w:hAnsi="Times New Roman" w:cs="Times New Roman"/>
          <w:b/>
          <w:sz w:val="24"/>
          <w:szCs w:val="24"/>
        </w:rPr>
        <w:t>InferCNV</w:t>
      </w:r>
      <w:r w:rsidRPr="004554A9">
        <w:rPr>
          <w:rFonts w:ascii="Times New Roman" w:hAnsi="Times New Roman" w:cs="Times New Roman"/>
          <w:b/>
          <w:sz w:val="24"/>
          <w:szCs w:val="24"/>
        </w:rPr>
        <w:t xml:space="preserve"> analysis of six subpopulations.</w:t>
      </w:r>
      <w:r w:rsidRPr="00536F8C">
        <w:rPr>
          <w:rFonts w:ascii="Times New Roman" w:hAnsi="Times New Roman" w:cs="Times New Roman"/>
          <w:sz w:val="24"/>
          <w:szCs w:val="24"/>
        </w:rPr>
        <w:t xml:space="preserve"> CNV score</w:t>
      </w:r>
      <w:r w:rsidR="003B7B36">
        <w:rPr>
          <w:rFonts w:ascii="Times New Roman" w:hAnsi="Times New Roman" w:cs="Times New Roman"/>
          <w:sz w:val="24"/>
          <w:szCs w:val="24"/>
        </w:rPr>
        <w:t>s</w:t>
      </w:r>
      <w:r w:rsidRPr="00536F8C">
        <w:rPr>
          <w:rFonts w:ascii="Times New Roman" w:hAnsi="Times New Roman" w:cs="Times New Roman"/>
          <w:sz w:val="24"/>
          <w:szCs w:val="24"/>
        </w:rPr>
        <w:t xml:space="preserve"> of each subpopulation.</w:t>
      </w:r>
    </w:p>
    <w:p w:rsidR="00EA41F6" w:rsidRDefault="00EA41F6">
      <w:pPr>
        <w:spacing w:line="360" w:lineRule="auto"/>
        <w:rPr>
          <w:rFonts w:ascii="Times New Roman" w:hAnsi="Times New Roman" w:cs="Times New Roman"/>
          <w:b/>
          <w:bCs/>
          <w:sz w:val="24"/>
          <w:szCs w:val="24"/>
        </w:rPr>
      </w:pP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69230" cy="6151880"/>
            <wp:effectExtent l="0" t="0" r="7620" b="1270"/>
            <wp:docPr id="7167877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787714" name="图片 2"/>
                    <pic:cNvPicPr>
                      <a:picLocks noChangeAspect="1" noChangeArrowheads="1"/>
                    </pic:cNvPicPr>
                  </pic:nvPicPr>
                  <pic:blipFill>
                    <a:blip r:embed="rId13" cstate="hqprint"/>
                    <a:srcRect/>
                    <a:stretch>
                      <a:fillRect/>
                    </a:stretch>
                  </pic:blipFill>
                  <pic:spPr>
                    <a:xfrm>
                      <a:off x="0" y="0"/>
                      <a:ext cx="5269230" cy="6151880"/>
                    </a:xfrm>
                    <a:prstGeom prst="rect">
                      <a:avLst/>
                    </a:prstGeom>
                    <a:noFill/>
                    <a:ln>
                      <a:noFill/>
                    </a:ln>
                  </pic:spPr>
                </pic:pic>
              </a:graphicData>
            </a:graphic>
          </wp:inline>
        </w:drawing>
      </w:r>
    </w:p>
    <w:p w:rsidR="00EA41F6" w:rsidRDefault="00D950BE">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Supplementary Figure </w:t>
      </w:r>
      <w:r>
        <w:rPr>
          <w:rFonts w:ascii="Times New Roman" w:hAnsi="Times New Roman" w:cs="Times New Roman" w:hint="eastAsia"/>
          <w:b/>
          <w:bCs/>
          <w:sz w:val="24"/>
          <w:szCs w:val="24"/>
        </w:rPr>
        <w:t>S</w:t>
      </w:r>
      <w:r>
        <w:rPr>
          <w:rFonts w:ascii="Times New Roman" w:hAnsi="Times New Roman" w:cs="Times New Roman"/>
          <w:b/>
          <w:bCs/>
          <w:sz w:val="24"/>
          <w:szCs w:val="24"/>
        </w:rPr>
        <w:t xml:space="preserve">8 Potential </w:t>
      </w:r>
      <w:r w:rsidR="004554A9">
        <w:rPr>
          <w:rFonts w:ascii="Times New Roman" w:hAnsi="Times New Roman" w:cs="Times New Roman"/>
          <w:b/>
          <w:bCs/>
          <w:sz w:val="24"/>
          <w:szCs w:val="24"/>
        </w:rPr>
        <w:t>d</w:t>
      </w:r>
      <w:r>
        <w:rPr>
          <w:rFonts w:ascii="Times New Roman" w:hAnsi="Times New Roman" w:cs="Times New Roman"/>
          <w:b/>
          <w:bCs/>
          <w:sz w:val="24"/>
          <w:szCs w:val="24"/>
        </w:rPr>
        <w:t xml:space="preserve">rugs </w:t>
      </w:r>
      <w:r w:rsidR="004554A9">
        <w:rPr>
          <w:rFonts w:ascii="Times New Roman" w:hAnsi="Times New Roman" w:cs="Times New Roman"/>
          <w:b/>
          <w:bCs/>
          <w:sz w:val="24"/>
          <w:szCs w:val="24"/>
        </w:rPr>
        <w:t>t</w:t>
      </w:r>
      <w:r>
        <w:rPr>
          <w:rFonts w:ascii="Times New Roman" w:hAnsi="Times New Roman" w:cs="Times New Roman"/>
          <w:b/>
          <w:bCs/>
          <w:sz w:val="24"/>
          <w:szCs w:val="24"/>
        </w:rPr>
        <w:t xml:space="preserve">argeting </w:t>
      </w:r>
      <w:r w:rsidR="004554A9">
        <w:rPr>
          <w:rFonts w:ascii="Times New Roman" w:hAnsi="Times New Roman" w:cs="Times New Roman"/>
          <w:b/>
          <w:bCs/>
          <w:sz w:val="24"/>
          <w:szCs w:val="24"/>
        </w:rPr>
        <w:t>c</w:t>
      </w:r>
      <w:r>
        <w:rPr>
          <w:rFonts w:ascii="Times New Roman" w:hAnsi="Times New Roman" w:cs="Times New Roman"/>
          <w:b/>
          <w:bCs/>
          <w:sz w:val="24"/>
          <w:szCs w:val="24"/>
        </w:rPr>
        <w:t xml:space="preserve">ritical </w:t>
      </w:r>
      <w:r w:rsidR="004554A9">
        <w:rPr>
          <w:rFonts w:ascii="Times New Roman" w:hAnsi="Times New Roman" w:cs="Times New Roman"/>
          <w:b/>
          <w:bCs/>
          <w:sz w:val="24"/>
          <w:szCs w:val="24"/>
        </w:rPr>
        <w:t>r</w:t>
      </w:r>
      <w:r>
        <w:rPr>
          <w:rFonts w:ascii="Times New Roman" w:hAnsi="Times New Roman" w:cs="Times New Roman"/>
          <w:b/>
          <w:bCs/>
          <w:sz w:val="24"/>
          <w:szCs w:val="24"/>
        </w:rPr>
        <w:t xml:space="preserve">egulators. </w:t>
      </w:r>
      <w:r>
        <w:rPr>
          <w:rFonts w:ascii="Times New Roman" w:hAnsi="Times New Roman" w:cs="Times New Roman"/>
          <w:sz w:val="24"/>
          <w:szCs w:val="24"/>
        </w:rPr>
        <w:t xml:space="preserve">(A) The network of all critical TFs-related drugs and signaling pathways. The pink line indicated a positive correlation and </w:t>
      </w:r>
      <w:r w:rsidR="003B7B36">
        <w:rPr>
          <w:rFonts w:ascii="Times New Roman" w:hAnsi="Times New Roman" w:cs="Times New Roman"/>
          <w:sz w:val="24"/>
          <w:szCs w:val="24"/>
        </w:rPr>
        <w:t xml:space="preserve">the </w:t>
      </w:r>
      <w:r>
        <w:rPr>
          <w:rFonts w:ascii="Times New Roman" w:hAnsi="Times New Roman" w:cs="Times New Roman"/>
          <w:sz w:val="24"/>
          <w:szCs w:val="24"/>
        </w:rPr>
        <w:t xml:space="preserve">gray line indicated a negative correlation. Blue dotted line indicated the relationship between </w:t>
      </w:r>
      <w:bookmarkStart w:id="4" w:name="_GoBack"/>
      <w:bookmarkEnd w:id="4"/>
      <w:r w:rsidR="003B7B36">
        <w:rPr>
          <w:rFonts w:ascii="Times New Roman" w:hAnsi="Times New Roman" w:cs="Times New Roman"/>
          <w:sz w:val="24"/>
          <w:szCs w:val="24"/>
        </w:rPr>
        <w:t>drugs</w:t>
      </w:r>
      <w:r>
        <w:rPr>
          <w:rFonts w:ascii="Times New Roman" w:hAnsi="Times New Roman" w:cs="Times New Roman"/>
          <w:sz w:val="24"/>
          <w:szCs w:val="24"/>
        </w:rPr>
        <w:t xml:space="preserve"> and regulated signaling pathways. (B) Volcano plots of differential expression genes targeted by critical TFs of H2 and N2 subpopulation. Genes selected for differential expression analysis were previously identified regulators and their targeted genes. Genes were labeled if p &lt; 0.05 and </w:t>
      </w:r>
      <w:r w:rsidR="00860BC4">
        <w:rPr>
          <w:rFonts w:ascii="Times New Roman" w:hAnsi="Times New Roman" w:cs="Times New Roman"/>
          <w:sz w:val="24"/>
          <w:szCs w:val="24"/>
        </w:rPr>
        <w:t>|</w:t>
      </w:r>
      <w:r>
        <w:rPr>
          <w:rFonts w:ascii="Times New Roman" w:hAnsi="Times New Roman" w:cs="Times New Roman"/>
          <w:sz w:val="24"/>
          <w:szCs w:val="24"/>
        </w:rPr>
        <w:t>log2(fold change)</w:t>
      </w:r>
      <w:r w:rsidR="00860BC4">
        <w:rPr>
          <w:rFonts w:ascii="Times New Roman" w:hAnsi="Times New Roman" w:cs="Times New Roman"/>
          <w:sz w:val="24"/>
          <w:szCs w:val="24"/>
        </w:rPr>
        <w:t>|</w:t>
      </w:r>
      <w:r>
        <w:rPr>
          <w:rFonts w:ascii="Times New Roman" w:hAnsi="Times New Roman" w:cs="Times New Roman"/>
          <w:sz w:val="24"/>
          <w:szCs w:val="24"/>
        </w:rPr>
        <w:t xml:space="preserve"> &gt; 1. (C) Numbers of </w:t>
      </w:r>
      <w:r>
        <w:rPr>
          <w:rFonts w:ascii="Times New Roman" w:hAnsi="Times New Roman"/>
          <w:sz w:val="24"/>
          <w:szCs w:val="24"/>
        </w:rPr>
        <w:t xml:space="preserve">candidate drugs perturbed by DEGs of critical </w:t>
      </w:r>
      <w:r>
        <w:rPr>
          <w:rFonts w:ascii="Times New Roman" w:hAnsi="Times New Roman"/>
          <w:sz w:val="24"/>
          <w:szCs w:val="24"/>
        </w:rPr>
        <w:lastRenderedPageBreak/>
        <w:t>TFs targeted in five brain cancer cell lines.</w:t>
      </w: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D950BE">
      <w:pPr>
        <w:spacing w:line="360" w:lineRule="auto"/>
        <w:rPr>
          <w:rFonts w:ascii="Times New Roman" w:hAnsi="Times New Roman" w:cs="Times New Roman"/>
          <w:b/>
          <w:bCs/>
          <w:sz w:val="24"/>
          <w:szCs w:val="24"/>
        </w:rPr>
      </w:pPr>
      <w:r>
        <w:rPr>
          <w:rFonts w:ascii="Times New Roman" w:eastAsia="宋体" w:hAnsi="Times New Roman" w:cs="Times New Roman"/>
          <w:b/>
          <w:bCs/>
          <w:color w:val="000000"/>
          <w:kern w:val="0"/>
          <w:sz w:val="24"/>
          <w:szCs w:val="24"/>
        </w:rPr>
        <w:lastRenderedPageBreak/>
        <w:t>Supplementary Tables</w:t>
      </w:r>
    </w:p>
    <w:p w:rsidR="00EA41F6" w:rsidRDefault="00D950BE">
      <w:pPr>
        <w:spacing w:line="360" w:lineRule="auto"/>
        <w:rPr>
          <w:rFonts w:ascii="Times New Roman" w:eastAsia="宋体" w:hAnsi="Times New Roman" w:cs="Times New Roman"/>
          <w:sz w:val="24"/>
          <w:szCs w:val="24"/>
        </w:rPr>
      </w:pPr>
      <w:r>
        <w:rPr>
          <w:rFonts w:ascii="Times New Roman" w:eastAsia="宋体" w:hAnsi="Times New Roman" w:cs="Times New Roman"/>
          <w:color w:val="000000"/>
          <w:kern w:val="0"/>
          <w:sz w:val="24"/>
          <w:szCs w:val="24"/>
        </w:rPr>
        <w:t xml:space="preserve">Supplementary Table S1. Description of the hypoxia gene </w:t>
      </w:r>
      <w:r w:rsidR="00866CA4">
        <w:rPr>
          <w:rFonts w:ascii="Times New Roman" w:eastAsia="宋体" w:hAnsi="Times New Roman" w:cs="Times New Roman"/>
          <w:color w:val="000000"/>
          <w:kern w:val="0"/>
          <w:sz w:val="24"/>
          <w:szCs w:val="24"/>
        </w:rPr>
        <w:t>signature</w:t>
      </w:r>
      <w:r>
        <w:rPr>
          <w:rFonts w:ascii="Times New Roman" w:eastAsia="宋体" w:hAnsi="Times New Roman" w:cs="Times New Roman" w:hint="eastAsia"/>
          <w:color w:val="000000"/>
          <w:kern w:val="0"/>
          <w:sz w:val="24"/>
          <w:szCs w:val="24"/>
        </w:rPr>
        <w:t>s.</w:t>
      </w:r>
    </w:p>
    <w:p w:rsidR="00EA41F6" w:rsidRDefault="00D950BE">
      <w:pPr>
        <w:widowControl/>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color w:val="000000" w:themeColor="text1"/>
          <w:kern w:val="0"/>
          <w:sz w:val="24"/>
          <w:szCs w:val="24"/>
        </w:rPr>
        <w:t>Supplementary Table S2. Cell type-specific important hypoxia-related gene signature</w:t>
      </w:r>
      <w:r>
        <w:rPr>
          <w:rFonts w:ascii="Times New Roman" w:eastAsia="宋体" w:hAnsi="Times New Roman" w:cs="Times New Roman" w:hint="eastAsia"/>
          <w:color w:val="000000" w:themeColor="text1"/>
          <w:kern w:val="0"/>
          <w:sz w:val="24"/>
          <w:szCs w:val="24"/>
        </w:rPr>
        <w:t>s</w:t>
      </w:r>
      <w:r>
        <w:rPr>
          <w:rFonts w:ascii="Times New Roman" w:eastAsia="宋体" w:hAnsi="Times New Roman" w:cs="Times New Roman"/>
          <w:color w:val="000000" w:themeColor="text1"/>
          <w:kern w:val="0"/>
          <w:sz w:val="24"/>
          <w:szCs w:val="24"/>
        </w:rPr>
        <w:t>.</w:t>
      </w:r>
    </w:p>
    <w:p w:rsidR="00EA41F6" w:rsidRDefault="00D950BE">
      <w:pPr>
        <w:widowControl/>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S</w:t>
      </w:r>
      <w:r>
        <w:rPr>
          <w:rFonts w:ascii="Times New Roman" w:eastAsia="宋体" w:hAnsi="Times New Roman" w:cs="Times New Roman"/>
          <w:color w:val="000000" w:themeColor="text1"/>
          <w:kern w:val="0"/>
          <w:sz w:val="24"/>
          <w:szCs w:val="24"/>
        </w:rPr>
        <w:t xml:space="preserve">upplementary Table S3. The </w:t>
      </w:r>
      <w:r w:rsidR="00866CA4">
        <w:rPr>
          <w:rFonts w:ascii="Times New Roman" w:eastAsia="宋体" w:hAnsi="Times New Roman" w:cs="Times New Roman"/>
          <w:color w:val="000000" w:themeColor="text1"/>
          <w:kern w:val="0"/>
          <w:sz w:val="24"/>
          <w:szCs w:val="24"/>
        </w:rPr>
        <w:t>p</w:t>
      </w:r>
      <w:r>
        <w:rPr>
          <w:rFonts w:ascii="Times New Roman" w:eastAsia="宋体" w:hAnsi="Times New Roman" w:cs="Times New Roman"/>
          <w:color w:val="000000" w:themeColor="text1"/>
          <w:kern w:val="0"/>
          <w:sz w:val="24"/>
          <w:szCs w:val="24"/>
        </w:rPr>
        <w:t>erformance of the CHPF in each dataset.</w:t>
      </w:r>
    </w:p>
    <w:p w:rsidR="00EA41F6" w:rsidRDefault="00D950BE">
      <w:pPr>
        <w:widowControl/>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color w:val="000000" w:themeColor="text1"/>
          <w:kern w:val="0"/>
          <w:sz w:val="24"/>
          <w:szCs w:val="24"/>
        </w:rPr>
        <w:t>Supplementary Table S4. Marker genes of each tumor subpopulation</w:t>
      </w:r>
      <w:r>
        <w:rPr>
          <w:rFonts w:ascii="Times New Roman" w:eastAsia="宋体" w:hAnsi="Times New Roman" w:cs="Times New Roman" w:hint="eastAsia"/>
          <w:color w:val="000000" w:themeColor="text1"/>
          <w:kern w:val="0"/>
          <w:sz w:val="24"/>
          <w:szCs w:val="24"/>
        </w:rPr>
        <w:t>.</w:t>
      </w:r>
    </w:p>
    <w:p w:rsidR="00EA41F6" w:rsidRDefault="00D950BE">
      <w:pPr>
        <w:widowControl/>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S</w:t>
      </w:r>
      <w:r>
        <w:rPr>
          <w:rFonts w:ascii="Times New Roman" w:eastAsia="宋体" w:hAnsi="Times New Roman" w:cs="Times New Roman"/>
          <w:color w:val="000000" w:themeColor="text1"/>
          <w:kern w:val="0"/>
          <w:sz w:val="24"/>
          <w:szCs w:val="24"/>
        </w:rPr>
        <w:t>upplementary Table S5. Gene l</w:t>
      </w:r>
      <w:r>
        <w:rPr>
          <w:rFonts w:ascii="Times New Roman" w:eastAsia="宋体" w:hAnsi="Times New Roman" w:cs="Times New Roman" w:hint="eastAsia"/>
          <w:color w:val="000000" w:themeColor="text1"/>
          <w:kern w:val="0"/>
          <w:sz w:val="24"/>
          <w:szCs w:val="24"/>
        </w:rPr>
        <w:t>ist</w:t>
      </w:r>
      <w:r>
        <w:rPr>
          <w:rFonts w:ascii="Times New Roman" w:eastAsia="宋体" w:hAnsi="Times New Roman" w:cs="Times New Roman"/>
          <w:color w:val="000000" w:themeColor="text1"/>
          <w:kern w:val="0"/>
          <w:sz w:val="24"/>
          <w:szCs w:val="24"/>
        </w:rPr>
        <w:t xml:space="preserve"> of </w:t>
      </w:r>
      <w:r>
        <w:rPr>
          <w:rFonts w:ascii="Times New Roman" w:eastAsia="宋体" w:hAnsi="Times New Roman" w:cs="Times New Roman" w:hint="eastAsia"/>
          <w:color w:val="000000" w:themeColor="text1"/>
          <w:kern w:val="0"/>
          <w:sz w:val="24"/>
          <w:szCs w:val="24"/>
        </w:rPr>
        <w:t>WGCNA</w:t>
      </w:r>
      <w:r>
        <w:rPr>
          <w:rFonts w:ascii="Times New Roman" w:eastAsia="宋体" w:hAnsi="Times New Roman" w:cs="Times New Roman"/>
          <w:color w:val="000000" w:themeColor="text1"/>
          <w:kern w:val="0"/>
          <w:sz w:val="24"/>
          <w:szCs w:val="24"/>
        </w:rPr>
        <w:t xml:space="preserve"> </w:t>
      </w:r>
      <w:r>
        <w:rPr>
          <w:rFonts w:ascii="Times New Roman" w:eastAsia="宋体" w:hAnsi="Times New Roman" w:cs="Times New Roman" w:hint="eastAsia"/>
          <w:color w:val="000000" w:themeColor="text1"/>
          <w:kern w:val="0"/>
          <w:sz w:val="24"/>
          <w:szCs w:val="24"/>
        </w:rPr>
        <w:t>m</w:t>
      </w:r>
      <w:r>
        <w:rPr>
          <w:rFonts w:ascii="Times New Roman" w:eastAsia="宋体" w:hAnsi="Times New Roman" w:cs="Times New Roman"/>
          <w:color w:val="000000" w:themeColor="text1"/>
          <w:kern w:val="0"/>
          <w:sz w:val="24"/>
          <w:szCs w:val="24"/>
        </w:rPr>
        <w:t>odules</w:t>
      </w:r>
      <w:r>
        <w:rPr>
          <w:rFonts w:ascii="Times New Roman" w:eastAsia="宋体" w:hAnsi="Times New Roman" w:cs="Times New Roman" w:hint="eastAsia"/>
          <w:color w:val="000000" w:themeColor="text1"/>
          <w:kern w:val="0"/>
          <w:sz w:val="24"/>
          <w:szCs w:val="24"/>
        </w:rPr>
        <w:t>.</w:t>
      </w:r>
      <w:r>
        <w:rPr>
          <w:rFonts w:ascii="Times New Roman" w:eastAsia="宋体" w:hAnsi="Times New Roman" w:cs="Times New Roman"/>
          <w:color w:val="000000" w:themeColor="text1"/>
          <w:kern w:val="0"/>
          <w:sz w:val="24"/>
          <w:szCs w:val="24"/>
        </w:rPr>
        <w:t xml:space="preserve"> </w:t>
      </w:r>
    </w:p>
    <w:p w:rsidR="00EA41F6" w:rsidRDefault="00D950BE">
      <w:pPr>
        <w:spacing w:line="360" w:lineRule="auto"/>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Supplementary Table S6. Description of the four cancer-related signature</w:t>
      </w:r>
      <w:r>
        <w:rPr>
          <w:rFonts w:ascii="Times New Roman" w:eastAsia="宋体" w:hAnsi="Times New Roman" w:cs="Times New Roman" w:hint="eastAsia"/>
          <w:color w:val="000000"/>
          <w:kern w:val="0"/>
          <w:sz w:val="24"/>
          <w:szCs w:val="24"/>
        </w:rPr>
        <w:t>s.</w:t>
      </w:r>
    </w:p>
    <w:p w:rsidR="00EA41F6" w:rsidRDefault="00D950BE">
      <w:pPr>
        <w:spacing w:line="360" w:lineRule="auto"/>
        <w:rPr>
          <w:rFonts w:ascii="Times New Roman" w:hAnsi="Times New Roman" w:cs="Times New Roman"/>
          <w:sz w:val="24"/>
          <w:szCs w:val="24"/>
        </w:rPr>
      </w:pPr>
      <w:r>
        <w:rPr>
          <w:rFonts w:ascii="Times New Roman" w:hAnsi="Times New Roman" w:cs="Times New Roman"/>
          <w:sz w:val="24"/>
          <w:szCs w:val="24"/>
        </w:rPr>
        <w:t>Supplementary Table S7. Univariate Cox proportional hazards regression of critical TFs</w:t>
      </w:r>
      <w:r>
        <w:rPr>
          <w:rFonts w:ascii="Times New Roman" w:hAnsi="Times New Roman" w:cs="Times New Roman" w:hint="eastAsia"/>
          <w:sz w:val="24"/>
          <w:szCs w:val="24"/>
        </w:rPr>
        <w:t>.</w:t>
      </w:r>
    </w:p>
    <w:p w:rsidR="00EA41F6" w:rsidRDefault="00D950BE">
      <w:pPr>
        <w:spacing w:line="360" w:lineRule="auto"/>
        <w:rPr>
          <w:rFonts w:ascii="Times New Roman" w:eastAsia="宋体" w:hAnsi="Times New Roman" w:cs="Times New Roman"/>
          <w:sz w:val="24"/>
          <w:szCs w:val="24"/>
        </w:rPr>
      </w:pPr>
      <w:r>
        <w:rPr>
          <w:rFonts w:ascii="Times New Roman" w:eastAsia="宋体" w:hAnsi="Times New Roman" w:cs="Times New Roman"/>
          <w:color w:val="000000"/>
          <w:kern w:val="0"/>
          <w:sz w:val="24"/>
          <w:szCs w:val="24"/>
        </w:rPr>
        <w:t xml:space="preserve">Supplementary Table S8. Description of the </w:t>
      </w:r>
      <w:r w:rsidR="00866CA4">
        <w:rPr>
          <w:rFonts w:ascii="Times New Roman" w:eastAsia="宋体" w:hAnsi="Times New Roman" w:cs="Times New Roman"/>
          <w:color w:val="000000"/>
          <w:kern w:val="0"/>
          <w:sz w:val="24"/>
          <w:szCs w:val="24"/>
        </w:rPr>
        <w:t>b</w:t>
      </w:r>
      <w:r>
        <w:rPr>
          <w:rFonts w:ascii="Times New Roman" w:eastAsia="宋体" w:hAnsi="Times New Roman" w:cs="Times New Roman"/>
          <w:color w:val="000000"/>
          <w:kern w:val="0"/>
          <w:sz w:val="24"/>
          <w:szCs w:val="24"/>
        </w:rPr>
        <w:t>rain cancer cell lines in GDSC database</w:t>
      </w:r>
      <w:r>
        <w:rPr>
          <w:rFonts w:ascii="Times New Roman" w:eastAsia="宋体" w:hAnsi="Times New Roman" w:cs="Times New Roman" w:hint="eastAsia"/>
          <w:color w:val="000000"/>
          <w:kern w:val="0"/>
          <w:sz w:val="24"/>
          <w:szCs w:val="24"/>
        </w:rPr>
        <w:t>.</w:t>
      </w:r>
    </w:p>
    <w:p w:rsidR="00EA41F6" w:rsidRDefault="00D950BE">
      <w:pPr>
        <w:spacing w:line="360" w:lineRule="auto"/>
        <w:rPr>
          <w:rFonts w:ascii="Times New Roman" w:eastAsia="宋体" w:hAnsi="Times New Roman" w:cs="Times New Roman"/>
          <w:sz w:val="24"/>
          <w:szCs w:val="24"/>
        </w:rPr>
      </w:pPr>
      <w:r>
        <w:rPr>
          <w:rFonts w:ascii="Times New Roman" w:eastAsia="宋体" w:hAnsi="Times New Roman" w:cs="Times New Roman"/>
          <w:color w:val="000000"/>
          <w:kern w:val="0"/>
          <w:sz w:val="24"/>
          <w:szCs w:val="24"/>
        </w:rPr>
        <w:t xml:space="preserve">Supplementary Table S9. Spearman correlation between </w:t>
      </w:r>
      <w:r w:rsidR="00866CA4">
        <w:rPr>
          <w:rFonts w:ascii="Times New Roman" w:eastAsia="宋体" w:hAnsi="Times New Roman" w:cs="Times New Roman"/>
          <w:color w:val="000000"/>
          <w:kern w:val="0"/>
          <w:sz w:val="24"/>
          <w:szCs w:val="24"/>
        </w:rPr>
        <w:t>d</w:t>
      </w:r>
      <w:r>
        <w:rPr>
          <w:rFonts w:ascii="Times New Roman" w:eastAsia="宋体" w:hAnsi="Times New Roman" w:cs="Times New Roman"/>
          <w:color w:val="000000"/>
          <w:kern w:val="0"/>
          <w:sz w:val="24"/>
          <w:szCs w:val="24"/>
        </w:rPr>
        <w:t>rug</w:t>
      </w:r>
      <w:r>
        <w:rPr>
          <w:rFonts w:ascii="Times New Roman" w:eastAsia="宋体" w:hAnsi="Times New Roman" w:cs="Times New Roman" w:hint="eastAsia"/>
          <w:color w:val="000000"/>
          <w:kern w:val="0"/>
          <w:sz w:val="24"/>
          <w:szCs w:val="24"/>
        </w:rPr>
        <w:t>s</w:t>
      </w:r>
      <w:r>
        <w:rPr>
          <w:rFonts w:ascii="Times New Roman" w:eastAsia="宋体" w:hAnsi="Times New Roman" w:cs="Times New Roman"/>
          <w:color w:val="000000"/>
          <w:kern w:val="0"/>
          <w:sz w:val="24"/>
          <w:szCs w:val="24"/>
        </w:rPr>
        <w:t xml:space="preserve"> and critical TFs</w:t>
      </w:r>
      <w:r>
        <w:rPr>
          <w:rFonts w:ascii="Times New Roman" w:eastAsia="宋体" w:hAnsi="Times New Roman" w:cs="Times New Roman" w:hint="eastAsia"/>
          <w:color w:val="000000"/>
          <w:kern w:val="0"/>
          <w:sz w:val="24"/>
          <w:szCs w:val="24"/>
        </w:rPr>
        <w:t>.</w:t>
      </w: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tbl>
      <w:tblPr>
        <w:tblpPr w:leftFromText="180" w:rightFromText="180" w:vertAnchor="text" w:horzAnchor="margin" w:tblpY="-5"/>
        <w:tblW w:w="8092" w:type="dxa"/>
        <w:tblLook w:val="04A0" w:firstRow="1" w:lastRow="0" w:firstColumn="1" w:lastColumn="0" w:noHBand="0" w:noVBand="1"/>
      </w:tblPr>
      <w:tblGrid>
        <w:gridCol w:w="2883"/>
        <w:gridCol w:w="3673"/>
        <w:gridCol w:w="1536"/>
      </w:tblGrid>
      <w:tr w:rsidR="00EA41F6">
        <w:trPr>
          <w:trHeight w:val="751"/>
        </w:trPr>
        <w:tc>
          <w:tcPr>
            <w:tcW w:w="8092" w:type="dxa"/>
            <w:gridSpan w:val="3"/>
            <w:tcBorders>
              <w:left w:val="nil"/>
              <w:bottom w:val="single" w:sz="12" w:space="0" w:color="auto"/>
              <w:right w:val="nil"/>
            </w:tcBorders>
            <w:shd w:val="clear" w:color="auto" w:fill="auto"/>
            <w:noWrap/>
            <w:vAlign w:val="center"/>
          </w:tcPr>
          <w:p w:rsidR="00EA41F6" w:rsidRDefault="00D950BE" w:rsidP="00860BC4">
            <w:pPr>
              <w:widowControl/>
              <w:spacing w:line="360" w:lineRule="auto"/>
              <w:jc w:val="left"/>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lastRenderedPageBreak/>
              <w:t xml:space="preserve">Supplementary Table </w:t>
            </w:r>
            <w:r>
              <w:rPr>
                <w:rFonts w:ascii="Times New Roman" w:eastAsia="宋体" w:hAnsi="Times New Roman" w:cs="Times New Roman" w:hint="eastAsia"/>
                <w:b/>
                <w:bCs/>
                <w:color w:val="000000"/>
                <w:kern w:val="0"/>
                <w:sz w:val="24"/>
                <w:szCs w:val="24"/>
              </w:rPr>
              <w:t>S</w:t>
            </w:r>
            <w:r>
              <w:rPr>
                <w:rFonts w:ascii="Times New Roman" w:eastAsia="宋体" w:hAnsi="Times New Roman" w:cs="Times New Roman"/>
                <w:b/>
                <w:bCs/>
                <w:color w:val="000000"/>
                <w:kern w:val="0"/>
                <w:sz w:val="24"/>
                <w:szCs w:val="24"/>
              </w:rPr>
              <w:t xml:space="preserve">1. Description </w:t>
            </w:r>
            <w:r w:rsidR="000E7A44">
              <w:rPr>
                <w:rFonts w:ascii="Times New Roman" w:eastAsia="宋体" w:hAnsi="Times New Roman" w:cs="Times New Roman"/>
                <w:b/>
                <w:bCs/>
                <w:color w:val="000000"/>
                <w:kern w:val="0"/>
                <w:sz w:val="24"/>
                <w:szCs w:val="24"/>
              </w:rPr>
              <w:t>of hypoxia</w:t>
            </w:r>
            <w:r>
              <w:rPr>
                <w:rFonts w:ascii="Times New Roman" w:eastAsia="宋体" w:hAnsi="Times New Roman" w:cs="Times New Roman"/>
                <w:b/>
                <w:bCs/>
                <w:color w:val="000000"/>
                <w:kern w:val="0"/>
                <w:sz w:val="24"/>
                <w:szCs w:val="24"/>
              </w:rPr>
              <w:t xml:space="preserve"> gene s</w:t>
            </w:r>
            <w:r w:rsidR="00860BC4">
              <w:rPr>
                <w:rFonts w:ascii="Times New Roman" w:eastAsia="宋体" w:hAnsi="Times New Roman" w:cs="Times New Roman"/>
                <w:b/>
                <w:bCs/>
                <w:color w:val="000000"/>
                <w:kern w:val="0"/>
                <w:sz w:val="24"/>
                <w:szCs w:val="24"/>
              </w:rPr>
              <w:t>ignature</w:t>
            </w:r>
            <w:r>
              <w:rPr>
                <w:rFonts w:ascii="Times New Roman" w:eastAsia="宋体" w:hAnsi="Times New Roman" w:cs="Times New Roman" w:hint="eastAsia"/>
                <w:b/>
                <w:bCs/>
                <w:color w:val="000000"/>
                <w:kern w:val="0"/>
                <w:sz w:val="24"/>
                <w:szCs w:val="24"/>
              </w:rPr>
              <w:t>s.</w:t>
            </w:r>
          </w:p>
        </w:tc>
      </w:tr>
      <w:tr w:rsidR="00EA41F6">
        <w:trPr>
          <w:trHeight w:val="506"/>
        </w:trPr>
        <w:tc>
          <w:tcPr>
            <w:tcW w:w="2607"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Gene Set Name</w:t>
            </w:r>
          </w:p>
        </w:tc>
        <w:tc>
          <w:tcPr>
            <w:tcW w:w="3948"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Descri</w:t>
            </w:r>
            <w:r>
              <w:rPr>
                <w:rFonts w:ascii="Times New Roman" w:eastAsia="宋体" w:hAnsi="Times New Roman" w:cs="Times New Roman" w:hint="eastAsia"/>
                <w:b/>
                <w:bCs/>
                <w:color w:val="000000"/>
                <w:kern w:val="0"/>
                <w:sz w:val="24"/>
                <w:szCs w:val="24"/>
              </w:rPr>
              <w:t>ption</w:t>
            </w:r>
          </w:p>
        </w:tc>
        <w:tc>
          <w:tcPr>
            <w:tcW w:w="1535"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PMID</w:t>
            </w:r>
          </w:p>
        </w:tc>
      </w:tr>
      <w:tr w:rsidR="00EA41F6">
        <w:trPr>
          <w:trHeight w:val="1155"/>
        </w:trPr>
        <w:tc>
          <w:tcPr>
            <w:tcW w:w="2607" w:type="dxa"/>
            <w:tcBorders>
              <w:top w:val="single" w:sz="4" w:space="0" w:color="auto"/>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LEONARD_HYPOXIA</w:t>
            </w:r>
          </w:p>
        </w:tc>
        <w:tc>
          <w:tcPr>
            <w:tcW w:w="3948" w:type="dxa"/>
            <w:tcBorders>
              <w:top w:val="single" w:sz="4" w:space="0" w:color="auto"/>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up-regulated in HK-2 cells kidney tubular epithelium) under hypoxia and down-regulated on re-oxygenation.</w:t>
            </w:r>
          </w:p>
        </w:tc>
        <w:tc>
          <w:tcPr>
            <w:tcW w:w="1535" w:type="dxa"/>
            <w:tcBorders>
              <w:top w:val="single" w:sz="4" w:space="0" w:color="auto"/>
              <w:left w:val="nil"/>
              <w:bottom w:val="nil"/>
              <w:right w:val="nil"/>
            </w:tcBorders>
            <w:shd w:val="clear" w:color="auto" w:fill="auto"/>
            <w:noWrap/>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12885785</w:t>
            </w:r>
          </w:p>
        </w:tc>
      </w:tr>
      <w:tr w:rsidR="00EA41F6">
        <w:trPr>
          <w:trHeight w:val="704"/>
        </w:trPr>
        <w:tc>
          <w:tcPr>
            <w:tcW w:w="2607"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HARRIS_HYPOXIA</w:t>
            </w:r>
          </w:p>
        </w:tc>
        <w:tc>
          <w:tcPr>
            <w:tcW w:w="3948"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known to be induced by hypoxia</w:t>
            </w:r>
          </w:p>
        </w:tc>
        <w:tc>
          <w:tcPr>
            <w:tcW w:w="1535"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11902584</w:t>
            </w:r>
          </w:p>
        </w:tc>
      </w:tr>
      <w:tr w:rsidR="00EA41F6">
        <w:trPr>
          <w:trHeight w:val="788"/>
        </w:trPr>
        <w:tc>
          <w:tcPr>
            <w:tcW w:w="2607"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HALLMARK_HYPOXIA</w:t>
            </w:r>
          </w:p>
        </w:tc>
        <w:tc>
          <w:tcPr>
            <w:tcW w:w="3948"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up-regulated in response to low oxygen levels (hypoxia).</w:t>
            </w:r>
          </w:p>
        </w:tc>
        <w:tc>
          <w:tcPr>
            <w:tcW w:w="1535"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26771021</w:t>
            </w:r>
          </w:p>
        </w:tc>
      </w:tr>
      <w:tr w:rsidR="00EA41F6">
        <w:trPr>
          <w:trHeight w:val="873"/>
        </w:trPr>
        <w:tc>
          <w:tcPr>
            <w:tcW w:w="2607"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MENSE_HYPOXIA_UP</w:t>
            </w:r>
          </w:p>
        </w:tc>
        <w:tc>
          <w:tcPr>
            <w:tcW w:w="3948"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Hypoxia response genes up-regulated in both astrocytes and HeLa cell line</w:t>
            </w:r>
          </w:p>
        </w:tc>
        <w:tc>
          <w:tcPr>
            <w:tcW w:w="1535"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16507782</w:t>
            </w:r>
          </w:p>
        </w:tc>
      </w:tr>
      <w:tr w:rsidR="00EA41F6">
        <w:trPr>
          <w:trHeight w:val="788"/>
        </w:trPr>
        <w:tc>
          <w:tcPr>
            <w:tcW w:w="2607"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ELVIDGE_HYPOXIA_UP</w:t>
            </w:r>
          </w:p>
        </w:tc>
        <w:tc>
          <w:tcPr>
            <w:tcW w:w="3948"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up-regulated in MCF7 cells (breast cancer) under hypoxia conditions</w:t>
            </w:r>
          </w:p>
        </w:tc>
        <w:tc>
          <w:tcPr>
            <w:tcW w:w="1535"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16565084</w:t>
            </w:r>
          </w:p>
        </w:tc>
      </w:tr>
      <w:tr w:rsidR="00EA41F6">
        <w:trPr>
          <w:trHeight w:val="506"/>
        </w:trPr>
        <w:tc>
          <w:tcPr>
            <w:tcW w:w="2607"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FARDIN_HYPOXIA</w:t>
            </w:r>
          </w:p>
        </w:tc>
        <w:tc>
          <w:tcPr>
            <w:tcW w:w="3948"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in the hypoxia signature, based on analysis of 11 neuroblastoma cell lines in hypoxia and normal oxygen conditions.</w:t>
            </w:r>
          </w:p>
        </w:tc>
        <w:tc>
          <w:tcPr>
            <w:tcW w:w="1535"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20624283</w:t>
            </w:r>
          </w:p>
        </w:tc>
      </w:tr>
      <w:tr w:rsidR="00EA41F6">
        <w:trPr>
          <w:trHeight w:val="506"/>
        </w:trPr>
        <w:tc>
          <w:tcPr>
            <w:tcW w:w="2607"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KIM_HYPOXIA</w:t>
            </w:r>
          </w:p>
        </w:tc>
        <w:tc>
          <w:tcPr>
            <w:tcW w:w="3948"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Genes up-regulated in normal fibroblasts under hypoxia conditions.</w:t>
            </w:r>
          </w:p>
        </w:tc>
        <w:tc>
          <w:tcPr>
            <w:tcW w:w="1535"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14499499</w:t>
            </w:r>
          </w:p>
        </w:tc>
      </w:tr>
    </w:tbl>
    <w:p w:rsidR="00EA41F6" w:rsidRDefault="00EA41F6">
      <w:pPr>
        <w:spacing w:line="360" w:lineRule="auto"/>
        <w:rPr>
          <w:rFonts w:ascii="Times New Roman" w:hAnsi="Times New Roman" w:cs="Times New Roman"/>
          <w:sz w:val="24"/>
          <w:szCs w:val="24"/>
        </w:rPr>
      </w:pPr>
    </w:p>
    <w:p w:rsidR="00EA41F6" w:rsidRDefault="00D950BE">
      <w:pPr>
        <w:widowControl/>
        <w:jc w:val="left"/>
        <w:rPr>
          <w:rFonts w:ascii="Times New Roman" w:hAnsi="Times New Roman" w:cs="Times New Roman"/>
          <w:sz w:val="24"/>
          <w:szCs w:val="24"/>
        </w:rPr>
      </w:pPr>
      <w:r>
        <w:rPr>
          <w:rFonts w:ascii="Times New Roman" w:hAnsi="Times New Roman" w:cs="Times New Roman"/>
          <w:sz w:val="24"/>
          <w:szCs w:val="24"/>
        </w:rPr>
        <w:br w:type="page"/>
      </w:r>
    </w:p>
    <w:p w:rsidR="00EA41F6" w:rsidRDefault="00EA41F6">
      <w:pPr>
        <w:spacing w:line="360" w:lineRule="auto"/>
        <w:rPr>
          <w:rFonts w:ascii="Times New Roman" w:hAnsi="Times New Roman" w:cs="Times New Roman"/>
          <w:sz w:val="24"/>
          <w:szCs w:val="24"/>
        </w:rPr>
      </w:pPr>
      <w:bookmarkStart w:id="5" w:name="_Hlk135589712"/>
    </w:p>
    <w:p w:rsidR="00EA41F6" w:rsidRDefault="00D950BE">
      <w:pPr>
        <w:spacing w:line="360" w:lineRule="auto"/>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Supplementary Table S3. </w:t>
      </w:r>
      <w:r w:rsidRPr="00860BC4">
        <w:rPr>
          <w:rFonts w:ascii="Times New Roman" w:eastAsia="宋体" w:hAnsi="Times New Roman" w:cs="Times New Roman"/>
          <w:b/>
          <w:color w:val="000000" w:themeColor="text1"/>
          <w:kern w:val="0"/>
          <w:sz w:val="24"/>
          <w:szCs w:val="24"/>
        </w:rPr>
        <w:t xml:space="preserve">The </w:t>
      </w:r>
      <w:r w:rsidR="00860BC4" w:rsidRPr="00860BC4">
        <w:rPr>
          <w:rFonts w:ascii="Times New Roman" w:eastAsia="宋体" w:hAnsi="Times New Roman" w:cs="Times New Roman"/>
          <w:b/>
          <w:color w:val="000000" w:themeColor="text1"/>
          <w:kern w:val="0"/>
          <w:sz w:val="24"/>
          <w:szCs w:val="24"/>
        </w:rPr>
        <w:t>p</w:t>
      </w:r>
      <w:r w:rsidRPr="00860BC4">
        <w:rPr>
          <w:rFonts w:ascii="Times New Roman" w:eastAsia="宋体" w:hAnsi="Times New Roman" w:cs="Times New Roman"/>
          <w:b/>
          <w:color w:val="000000" w:themeColor="text1"/>
          <w:kern w:val="0"/>
          <w:sz w:val="24"/>
          <w:szCs w:val="24"/>
        </w:rPr>
        <w:t xml:space="preserve">erformance of the CHPF in each </w:t>
      </w:r>
      <w:r w:rsidR="000E7A44" w:rsidRPr="00860BC4">
        <w:rPr>
          <w:rFonts w:ascii="Times New Roman" w:eastAsia="宋体" w:hAnsi="Times New Roman" w:cs="Times New Roman"/>
          <w:b/>
          <w:color w:val="000000" w:themeColor="text1"/>
          <w:kern w:val="0"/>
          <w:sz w:val="24"/>
          <w:szCs w:val="24"/>
        </w:rPr>
        <w:t>dataset</w:t>
      </w:r>
      <w:r w:rsidRPr="00860BC4">
        <w:rPr>
          <w:rFonts w:ascii="Times New Roman" w:eastAsia="宋体" w:hAnsi="Times New Roman" w:cs="Times New Roman"/>
          <w:b/>
          <w:color w:val="000000" w:themeColor="text1"/>
          <w:kern w:val="0"/>
          <w:sz w:val="24"/>
          <w:szCs w:val="24"/>
        </w:rPr>
        <w:t>.</w:t>
      </w:r>
    </w:p>
    <w:tbl>
      <w:tblPr>
        <w:tblW w:w="8164" w:type="dxa"/>
        <w:tblLook w:val="04A0" w:firstRow="1" w:lastRow="0" w:firstColumn="1" w:lastColumn="0" w:noHBand="0" w:noVBand="1"/>
      </w:tblPr>
      <w:tblGrid>
        <w:gridCol w:w="2072"/>
        <w:gridCol w:w="2029"/>
        <w:gridCol w:w="2029"/>
        <w:gridCol w:w="2034"/>
      </w:tblGrid>
      <w:tr w:rsidR="00EA41F6">
        <w:trPr>
          <w:trHeight w:val="521"/>
        </w:trPr>
        <w:tc>
          <w:tcPr>
            <w:tcW w:w="2072" w:type="dxa"/>
            <w:tcBorders>
              <w:top w:val="single" w:sz="12" w:space="0" w:color="auto"/>
              <w:left w:val="nil"/>
              <w:bottom w:val="single" w:sz="4" w:space="0" w:color="auto"/>
              <w:right w:val="nil"/>
            </w:tcBorders>
            <w:shd w:val="clear" w:color="auto" w:fill="auto"/>
            <w:vAlign w:val="center"/>
          </w:tcPr>
          <w:p w:rsidR="00EA41F6" w:rsidRDefault="00D950BE">
            <w:pPr>
              <w:spacing w:line="36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Datasets</w:t>
            </w:r>
          </w:p>
        </w:tc>
        <w:tc>
          <w:tcPr>
            <w:tcW w:w="2029" w:type="dxa"/>
            <w:tcBorders>
              <w:top w:val="single" w:sz="12" w:space="0" w:color="auto"/>
              <w:left w:val="nil"/>
              <w:bottom w:val="single" w:sz="4" w:space="0" w:color="auto"/>
              <w:right w:val="nil"/>
            </w:tcBorders>
            <w:shd w:val="clear" w:color="auto" w:fill="auto"/>
            <w:vAlign w:val="center"/>
          </w:tcPr>
          <w:p w:rsidR="00EA41F6" w:rsidRDefault="00D950BE">
            <w:pPr>
              <w:spacing w:line="36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GSE117891</w:t>
            </w:r>
          </w:p>
        </w:tc>
        <w:tc>
          <w:tcPr>
            <w:tcW w:w="2029" w:type="dxa"/>
            <w:tcBorders>
              <w:top w:val="single" w:sz="12" w:space="0" w:color="auto"/>
              <w:left w:val="nil"/>
              <w:bottom w:val="single" w:sz="4" w:space="0" w:color="auto"/>
              <w:right w:val="nil"/>
            </w:tcBorders>
            <w:shd w:val="clear" w:color="auto" w:fill="auto"/>
            <w:vAlign w:val="center"/>
          </w:tcPr>
          <w:p w:rsidR="00EA41F6" w:rsidRDefault="00D950BE">
            <w:pPr>
              <w:spacing w:line="36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GSE125587</w:t>
            </w:r>
          </w:p>
        </w:tc>
        <w:tc>
          <w:tcPr>
            <w:tcW w:w="2034" w:type="dxa"/>
            <w:tcBorders>
              <w:top w:val="single" w:sz="12" w:space="0" w:color="auto"/>
              <w:left w:val="nil"/>
              <w:bottom w:val="single" w:sz="4" w:space="0" w:color="auto"/>
              <w:right w:val="nil"/>
            </w:tcBorders>
            <w:shd w:val="clear" w:color="auto" w:fill="auto"/>
            <w:vAlign w:val="center"/>
          </w:tcPr>
          <w:p w:rsidR="00EA41F6" w:rsidRDefault="00D950BE">
            <w:pPr>
              <w:spacing w:line="360" w:lineRule="auto"/>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GSE131928</w:t>
            </w:r>
          </w:p>
        </w:tc>
      </w:tr>
      <w:tr w:rsidR="00EA41F6">
        <w:trPr>
          <w:trHeight w:val="521"/>
        </w:trPr>
        <w:tc>
          <w:tcPr>
            <w:tcW w:w="2072" w:type="dxa"/>
            <w:tcBorders>
              <w:top w:val="single" w:sz="4" w:space="0" w:color="auto"/>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Cells Number</w:t>
            </w:r>
          </w:p>
        </w:tc>
        <w:tc>
          <w:tcPr>
            <w:tcW w:w="2029" w:type="dxa"/>
            <w:tcBorders>
              <w:top w:val="single" w:sz="4" w:space="0" w:color="auto"/>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6148</w:t>
            </w:r>
          </w:p>
        </w:tc>
        <w:tc>
          <w:tcPr>
            <w:tcW w:w="2029" w:type="dxa"/>
            <w:tcBorders>
              <w:top w:val="single" w:sz="4" w:space="0" w:color="auto"/>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21750</w:t>
            </w:r>
          </w:p>
        </w:tc>
        <w:tc>
          <w:tcPr>
            <w:tcW w:w="2034" w:type="dxa"/>
            <w:tcBorders>
              <w:top w:val="single" w:sz="4" w:space="0" w:color="auto"/>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16201</w:t>
            </w:r>
          </w:p>
        </w:tc>
      </w:tr>
      <w:tr w:rsidR="00EA41F6">
        <w:trPr>
          <w:trHeight w:val="521"/>
        </w:trPr>
        <w:tc>
          <w:tcPr>
            <w:tcW w:w="2072"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High-confidence hypoxic Cells</w:t>
            </w:r>
          </w:p>
        </w:tc>
        <w:tc>
          <w:tcPr>
            <w:tcW w:w="2029"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213</w:t>
            </w:r>
          </w:p>
        </w:tc>
        <w:tc>
          <w:tcPr>
            <w:tcW w:w="2029"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7028</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1062</w:t>
            </w:r>
          </w:p>
        </w:tc>
      </w:tr>
      <w:tr w:rsidR="00EA41F6">
        <w:trPr>
          <w:trHeight w:val="521"/>
        </w:trPr>
        <w:tc>
          <w:tcPr>
            <w:tcW w:w="2072"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High-confidence normoxic cells</w:t>
            </w:r>
          </w:p>
        </w:tc>
        <w:tc>
          <w:tcPr>
            <w:tcW w:w="2029"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3112</w:t>
            </w:r>
          </w:p>
        </w:tc>
        <w:tc>
          <w:tcPr>
            <w:tcW w:w="2029"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4912</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3765</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Accuracy</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0.991</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0.9345</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0.9925</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95%CI</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(0.9835, 0.9957)</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(0.928, 0.9406)</w:t>
            </w:r>
          </w:p>
        </w:tc>
        <w:tc>
          <w:tcPr>
            <w:tcW w:w="2034"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(0.9882, 0.9956)</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Kappa</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0.9311</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0.8665</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0.9785</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Sensitivity</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1.00000</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0.9078</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0.9851</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Specificity</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0.99034</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0.9736</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0.9947</w:t>
            </w:r>
          </w:p>
        </w:tc>
      </w:tr>
      <w:tr w:rsidR="00EA41F6">
        <w:trPr>
          <w:trHeight w:val="521"/>
        </w:trPr>
        <w:tc>
          <w:tcPr>
            <w:tcW w:w="2072"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Precision</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0.87952    </w:t>
            </w:r>
          </w:p>
        </w:tc>
        <w:tc>
          <w:tcPr>
            <w:tcW w:w="2029" w:type="dxa"/>
            <w:tcBorders>
              <w:top w:val="nil"/>
              <w:left w:val="nil"/>
              <w:bottom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0.9805</w:t>
            </w:r>
          </w:p>
        </w:tc>
        <w:tc>
          <w:tcPr>
            <w:tcW w:w="2034" w:type="dxa"/>
            <w:tcBorders>
              <w:top w:val="nil"/>
              <w:left w:val="nil"/>
              <w:bottom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0.9815</w:t>
            </w:r>
          </w:p>
        </w:tc>
      </w:tr>
      <w:tr w:rsidR="00EA41F6">
        <w:trPr>
          <w:trHeight w:val="521"/>
        </w:trPr>
        <w:tc>
          <w:tcPr>
            <w:tcW w:w="2072" w:type="dxa"/>
            <w:tcBorders>
              <w:top w:val="nil"/>
              <w:left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Recall</w:t>
            </w:r>
          </w:p>
        </w:tc>
        <w:tc>
          <w:tcPr>
            <w:tcW w:w="2029" w:type="dxa"/>
            <w:tcBorders>
              <w:top w:val="nil"/>
              <w:left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1.00000    </w:t>
            </w:r>
          </w:p>
        </w:tc>
        <w:tc>
          <w:tcPr>
            <w:tcW w:w="2029" w:type="dxa"/>
            <w:tcBorders>
              <w:top w:val="nil"/>
              <w:left w:val="nil"/>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0.9078</w:t>
            </w:r>
          </w:p>
        </w:tc>
        <w:tc>
          <w:tcPr>
            <w:tcW w:w="2034" w:type="dxa"/>
            <w:tcBorders>
              <w:top w:val="nil"/>
              <w:left w:val="nil"/>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0.9851</w:t>
            </w:r>
          </w:p>
        </w:tc>
      </w:tr>
      <w:tr w:rsidR="00EA41F6">
        <w:trPr>
          <w:trHeight w:val="521"/>
        </w:trPr>
        <w:tc>
          <w:tcPr>
            <w:tcW w:w="2072" w:type="dxa"/>
            <w:tcBorders>
              <w:top w:val="nil"/>
              <w:left w:val="nil"/>
              <w:bottom w:val="single" w:sz="12" w:space="0" w:color="auto"/>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F1</w:t>
            </w:r>
          </w:p>
        </w:tc>
        <w:tc>
          <w:tcPr>
            <w:tcW w:w="2029" w:type="dxa"/>
            <w:tcBorders>
              <w:top w:val="nil"/>
              <w:left w:val="nil"/>
              <w:bottom w:val="single" w:sz="12" w:space="0" w:color="auto"/>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 xml:space="preserve">0.93590   </w:t>
            </w:r>
          </w:p>
        </w:tc>
        <w:tc>
          <w:tcPr>
            <w:tcW w:w="2029" w:type="dxa"/>
            <w:tcBorders>
              <w:top w:val="nil"/>
              <w:left w:val="nil"/>
              <w:bottom w:val="single" w:sz="12" w:space="0" w:color="auto"/>
              <w:right w:val="nil"/>
            </w:tcBorders>
            <w:shd w:val="clear" w:color="auto" w:fill="auto"/>
            <w:noWrap/>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0.9428</w:t>
            </w:r>
          </w:p>
        </w:tc>
        <w:tc>
          <w:tcPr>
            <w:tcW w:w="2034" w:type="dxa"/>
            <w:tcBorders>
              <w:top w:val="nil"/>
              <w:left w:val="nil"/>
              <w:bottom w:val="single" w:sz="12" w:space="0" w:color="auto"/>
              <w:right w:val="nil"/>
            </w:tcBorders>
            <w:shd w:val="clear" w:color="auto" w:fill="auto"/>
            <w:vAlign w:val="center"/>
          </w:tcPr>
          <w:p w:rsidR="00EA41F6" w:rsidRDefault="00D950BE">
            <w:pPr>
              <w:spacing w:line="360" w:lineRule="auto"/>
              <w:jc w:val="cente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0.9833</w:t>
            </w:r>
          </w:p>
        </w:tc>
      </w:tr>
    </w:tbl>
    <w:p w:rsidR="00EA41F6" w:rsidRDefault="00EA41F6">
      <w:pPr>
        <w:spacing w:line="360" w:lineRule="auto"/>
        <w:rPr>
          <w:rFonts w:ascii="Times New Roman" w:hAnsi="Times New Roman" w:cs="Times New Roman"/>
          <w:sz w:val="24"/>
          <w:szCs w:val="24"/>
        </w:rPr>
      </w:pPr>
    </w:p>
    <w:p w:rsidR="00EA41F6" w:rsidRDefault="00D950BE">
      <w:pPr>
        <w:rPr>
          <w:rFonts w:ascii="Times New Roman" w:hAnsi="Times New Roman" w:cs="Times New Roman"/>
          <w:sz w:val="24"/>
          <w:szCs w:val="24"/>
        </w:rPr>
      </w:pPr>
      <w:r>
        <w:rPr>
          <w:rFonts w:ascii="Times New Roman" w:hAnsi="Times New Roman" w:cs="Times New Roman"/>
          <w:sz w:val="24"/>
          <w:szCs w:val="24"/>
        </w:rPr>
        <w:br w:type="page"/>
      </w:r>
    </w:p>
    <w:tbl>
      <w:tblPr>
        <w:tblpPr w:leftFromText="180" w:rightFromText="180" w:vertAnchor="page" w:horzAnchor="margin" w:tblpXSpec="center" w:tblpY="1755"/>
        <w:tblW w:w="8241" w:type="dxa"/>
        <w:jc w:val="center"/>
        <w:tblLook w:val="04A0" w:firstRow="1" w:lastRow="0" w:firstColumn="1" w:lastColumn="0" w:noHBand="0" w:noVBand="1"/>
      </w:tblPr>
      <w:tblGrid>
        <w:gridCol w:w="1985"/>
        <w:gridCol w:w="4864"/>
        <w:gridCol w:w="1392"/>
      </w:tblGrid>
      <w:tr w:rsidR="00EA41F6">
        <w:trPr>
          <w:trHeight w:val="486"/>
          <w:jc w:val="center"/>
        </w:trPr>
        <w:tc>
          <w:tcPr>
            <w:tcW w:w="8241" w:type="dxa"/>
            <w:gridSpan w:val="3"/>
            <w:tcBorders>
              <w:left w:val="nil"/>
              <w:bottom w:val="single" w:sz="12" w:space="0" w:color="auto"/>
              <w:right w:val="nil"/>
            </w:tcBorders>
            <w:shd w:val="clear" w:color="auto" w:fill="auto"/>
            <w:noWrap/>
            <w:vAlign w:val="center"/>
          </w:tcPr>
          <w:bookmarkEnd w:id="5"/>
          <w:p w:rsidR="00EA41F6" w:rsidRDefault="00D950BE">
            <w:pPr>
              <w:widowControl/>
              <w:spacing w:line="360" w:lineRule="auto"/>
              <w:jc w:val="left"/>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lastRenderedPageBreak/>
              <w:t xml:space="preserve">Supplementary Table </w:t>
            </w:r>
            <w:r>
              <w:rPr>
                <w:rFonts w:ascii="Times New Roman" w:eastAsia="宋体" w:hAnsi="Times New Roman" w:cs="Times New Roman" w:hint="eastAsia"/>
                <w:b/>
                <w:bCs/>
                <w:color w:val="000000"/>
                <w:kern w:val="0"/>
                <w:sz w:val="24"/>
                <w:szCs w:val="24"/>
              </w:rPr>
              <w:t>S</w:t>
            </w:r>
            <w:r>
              <w:rPr>
                <w:rFonts w:ascii="Times New Roman" w:eastAsia="宋体" w:hAnsi="Times New Roman" w:cs="Times New Roman"/>
                <w:b/>
                <w:bCs/>
                <w:color w:val="000000"/>
                <w:kern w:val="0"/>
                <w:sz w:val="24"/>
                <w:szCs w:val="24"/>
              </w:rPr>
              <w:t>6. Description of the four cancer-related signature</w:t>
            </w:r>
            <w:r>
              <w:rPr>
                <w:rFonts w:ascii="Times New Roman" w:eastAsia="宋体" w:hAnsi="Times New Roman" w:cs="Times New Roman" w:hint="eastAsia"/>
                <w:b/>
                <w:bCs/>
                <w:color w:val="000000"/>
                <w:kern w:val="0"/>
                <w:sz w:val="24"/>
                <w:szCs w:val="24"/>
              </w:rPr>
              <w:t>s.</w:t>
            </w:r>
          </w:p>
        </w:tc>
      </w:tr>
      <w:tr w:rsidR="00EA41F6">
        <w:trPr>
          <w:trHeight w:val="456"/>
          <w:jc w:val="center"/>
        </w:trPr>
        <w:tc>
          <w:tcPr>
            <w:tcW w:w="1985"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Gene Set Name</w:t>
            </w:r>
          </w:p>
        </w:tc>
        <w:tc>
          <w:tcPr>
            <w:tcW w:w="4864"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Descri</w:t>
            </w:r>
            <w:r>
              <w:rPr>
                <w:rFonts w:ascii="Times New Roman" w:eastAsia="宋体" w:hAnsi="Times New Roman" w:cs="Times New Roman" w:hint="eastAsia"/>
                <w:b/>
                <w:bCs/>
                <w:color w:val="000000"/>
                <w:kern w:val="0"/>
                <w:sz w:val="24"/>
                <w:szCs w:val="24"/>
              </w:rPr>
              <w:t>ption</w:t>
            </w:r>
          </w:p>
        </w:tc>
        <w:tc>
          <w:tcPr>
            <w:tcW w:w="1392" w:type="dxa"/>
            <w:tcBorders>
              <w:top w:val="single" w:sz="12" w:space="0" w:color="auto"/>
              <w:left w:val="nil"/>
              <w:bottom w:val="single" w:sz="4"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b/>
                <w:bCs/>
                <w:color w:val="000000"/>
                <w:kern w:val="0"/>
                <w:sz w:val="24"/>
                <w:szCs w:val="24"/>
              </w:rPr>
            </w:pPr>
            <w:r>
              <w:rPr>
                <w:rFonts w:ascii="Times New Roman" w:eastAsia="宋体" w:hAnsi="Times New Roman" w:cs="Times New Roman"/>
                <w:b/>
                <w:bCs/>
                <w:color w:val="000000"/>
                <w:kern w:val="0"/>
                <w:sz w:val="24"/>
                <w:szCs w:val="24"/>
              </w:rPr>
              <w:t>PMID</w:t>
            </w:r>
          </w:p>
        </w:tc>
      </w:tr>
      <w:tr w:rsidR="00EA41F6">
        <w:trPr>
          <w:trHeight w:val="923"/>
          <w:jc w:val="center"/>
        </w:trPr>
        <w:tc>
          <w:tcPr>
            <w:tcW w:w="1985" w:type="dxa"/>
            <w:tcBorders>
              <w:top w:val="single" w:sz="4" w:space="0" w:color="auto"/>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Apoptosis</w:t>
            </w:r>
          </w:p>
        </w:tc>
        <w:tc>
          <w:tcPr>
            <w:tcW w:w="4864" w:type="dxa"/>
            <w:tcBorders>
              <w:top w:val="single" w:sz="4" w:space="0" w:color="auto"/>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The inactivation of apoptosis in cancer cells lead to the persistence of such grossly abnormal cells in the tissues.</w:t>
            </w:r>
          </w:p>
        </w:tc>
        <w:tc>
          <w:tcPr>
            <w:tcW w:w="1392" w:type="dxa"/>
            <w:tcBorders>
              <w:top w:val="single" w:sz="4" w:space="0" w:color="auto"/>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30329142</w:t>
            </w:r>
          </w:p>
        </w:tc>
      </w:tr>
      <w:tr w:rsidR="00EA41F6">
        <w:trPr>
          <w:trHeight w:val="562"/>
          <w:jc w:val="center"/>
        </w:trPr>
        <w:tc>
          <w:tcPr>
            <w:tcW w:w="1985"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Angiogenesis</w:t>
            </w:r>
          </w:p>
        </w:tc>
        <w:tc>
          <w:tcPr>
            <w:tcW w:w="4864"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Angiogenesis ensures that cancer cells receive continuous supplies of oxygen and other nutrients.</w:t>
            </w:r>
          </w:p>
        </w:tc>
        <w:tc>
          <w:tcPr>
            <w:tcW w:w="1392" w:type="dxa"/>
            <w:tcBorders>
              <w:top w:val="nil"/>
              <w:left w:val="nil"/>
              <w:bottom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30329142</w:t>
            </w:r>
          </w:p>
        </w:tc>
      </w:tr>
      <w:tr w:rsidR="00EA41F6">
        <w:trPr>
          <w:trHeight w:val="629"/>
          <w:jc w:val="center"/>
        </w:trPr>
        <w:tc>
          <w:tcPr>
            <w:tcW w:w="1985"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EMT</w:t>
            </w:r>
          </w:p>
        </w:tc>
        <w:tc>
          <w:tcPr>
            <w:tcW w:w="4864"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EMT has been indicated to be involved in the initiation of metastasis in cancer progression and in acquiring drug resistance.</w:t>
            </w:r>
          </w:p>
        </w:tc>
        <w:tc>
          <w:tcPr>
            <w:tcW w:w="1392" w:type="dxa"/>
            <w:tcBorders>
              <w:top w:val="nil"/>
              <w:left w:val="nil"/>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30329142</w:t>
            </w:r>
          </w:p>
        </w:tc>
      </w:tr>
      <w:tr w:rsidR="00EA41F6">
        <w:trPr>
          <w:trHeight w:val="697"/>
          <w:jc w:val="center"/>
        </w:trPr>
        <w:tc>
          <w:tcPr>
            <w:tcW w:w="1985"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invasion</w:t>
            </w:r>
          </w:p>
        </w:tc>
        <w:tc>
          <w:tcPr>
            <w:tcW w:w="4864"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Invasion is a critical carcinogenic event in which cancer cells escape from their primary sites and spread to blood or lymphatic vessels.</w:t>
            </w:r>
          </w:p>
        </w:tc>
        <w:tc>
          <w:tcPr>
            <w:tcW w:w="1392" w:type="dxa"/>
            <w:tcBorders>
              <w:top w:val="nil"/>
              <w:left w:val="nil"/>
              <w:bottom w:val="single" w:sz="12" w:space="0" w:color="auto"/>
              <w:right w:val="nil"/>
            </w:tcBorders>
            <w:shd w:val="clear" w:color="auto" w:fill="auto"/>
            <w:vAlign w:val="center"/>
          </w:tcPr>
          <w:p w:rsidR="00EA41F6" w:rsidRDefault="00D950BE">
            <w:pPr>
              <w:widowControl/>
              <w:spacing w:line="360" w:lineRule="auto"/>
              <w:jc w:val="center"/>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30329142</w:t>
            </w:r>
          </w:p>
        </w:tc>
      </w:tr>
    </w:tbl>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hAnsi="Times New Roman" w:cs="Times New Roman"/>
          <w:sz w:val="24"/>
          <w:szCs w:val="24"/>
        </w:rPr>
      </w:pPr>
    </w:p>
    <w:p w:rsidR="00EA41F6" w:rsidRDefault="00EA41F6">
      <w:pPr>
        <w:spacing w:line="360" w:lineRule="auto"/>
        <w:rPr>
          <w:rFonts w:ascii="Times New Roman" w:eastAsia="等线" w:hAnsi="Times New Roman" w:cs="Times New Roman"/>
          <w:b/>
          <w:bCs/>
          <w:color w:val="000000"/>
          <w:kern w:val="0"/>
          <w:sz w:val="24"/>
          <w:szCs w:val="24"/>
        </w:rPr>
      </w:pPr>
    </w:p>
    <w:p w:rsidR="00EA41F6" w:rsidRDefault="00D950BE">
      <w:pPr>
        <w:widowControl/>
        <w:jc w:val="left"/>
        <w:rPr>
          <w:rFonts w:ascii="Times New Roman" w:eastAsia="等线" w:hAnsi="Times New Roman" w:cs="Times New Roman"/>
          <w:b/>
          <w:bCs/>
          <w:color w:val="000000"/>
          <w:kern w:val="0"/>
          <w:sz w:val="24"/>
          <w:szCs w:val="24"/>
        </w:rPr>
      </w:pPr>
      <w:r>
        <w:rPr>
          <w:rFonts w:ascii="Times New Roman" w:eastAsia="等线" w:hAnsi="Times New Roman" w:cs="Times New Roman"/>
          <w:b/>
          <w:bCs/>
          <w:color w:val="000000"/>
          <w:kern w:val="0"/>
          <w:sz w:val="24"/>
          <w:szCs w:val="24"/>
        </w:rPr>
        <w:br w:type="page"/>
      </w:r>
    </w:p>
    <w:p w:rsidR="00EA41F6" w:rsidRDefault="00EA41F6">
      <w:pPr>
        <w:spacing w:line="360" w:lineRule="auto"/>
        <w:rPr>
          <w:rFonts w:ascii="Times New Roman" w:eastAsia="等线" w:hAnsi="Times New Roman" w:cs="Times New Roman"/>
          <w:b/>
          <w:bCs/>
          <w:color w:val="000000"/>
          <w:kern w:val="0"/>
          <w:sz w:val="24"/>
          <w:szCs w:val="24"/>
        </w:rPr>
      </w:pPr>
    </w:p>
    <w:p w:rsidR="00EA41F6" w:rsidRDefault="00D950BE">
      <w:pPr>
        <w:spacing w:line="360" w:lineRule="auto"/>
        <w:rPr>
          <w:rFonts w:ascii="Times New Roman" w:eastAsia="等线" w:hAnsi="Times New Roman" w:cs="Times New Roman"/>
          <w:sz w:val="24"/>
          <w:szCs w:val="24"/>
        </w:rPr>
      </w:pPr>
      <w:r>
        <w:rPr>
          <w:rFonts w:ascii="Times New Roman" w:eastAsia="等线" w:hAnsi="Times New Roman" w:cs="Times New Roman"/>
          <w:b/>
          <w:bCs/>
          <w:color w:val="000000"/>
          <w:kern w:val="0"/>
          <w:sz w:val="24"/>
          <w:szCs w:val="24"/>
        </w:rPr>
        <w:t>Supplementary Table S7. Univariate Cox proportional hazards regression of critical TFs</w:t>
      </w:r>
      <w:r>
        <w:rPr>
          <w:rFonts w:ascii="Times New Roman" w:eastAsia="等线" w:hAnsi="Times New Roman" w:cs="Times New Roman" w:hint="eastAsia"/>
          <w:b/>
          <w:bCs/>
          <w:color w:val="000000"/>
          <w:kern w:val="0"/>
          <w:sz w:val="24"/>
          <w:szCs w:val="24"/>
        </w:rPr>
        <w:t>.</w:t>
      </w:r>
    </w:p>
    <w:tbl>
      <w:tblPr>
        <w:tblW w:w="6205" w:type="dxa"/>
        <w:jc w:val="center"/>
        <w:tblLook w:val="04A0" w:firstRow="1" w:lastRow="0" w:firstColumn="1" w:lastColumn="0" w:noHBand="0" w:noVBand="1"/>
      </w:tblPr>
      <w:tblGrid>
        <w:gridCol w:w="1137"/>
        <w:gridCol w:w="1269"/>
        <w:gridCol w:w="2751"/>
        <w:gridCol w:w="1048"/>
      </w:tblGrid>
      <w:tr w:rsidR="00EA41F6">
        <w:trPr>
          <w:trHeight w:val="510"/>
          <w:jc w:val="center"/>
        </w:trPr>
        <w:tc>
          <w:tcPr>
            <w:tcW w:w="1137" w:type="dxa"/>
            <w:tcBorders>
              <w:top w:val="single" w:sz="12" w:space="0" w:color="auto"/>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b/>
                <w:bCs/>
                <w:color w:val="000000"/>
                <w:kern w:val="0"/>
                <w:sz w:val="24"/>
                <w:szCs w:val="24"/>
              </w:rPr>
            </w:pPr>
            <w:r>
              <w:rPr>
                <w:rFonts w:ascii="Times New Roman" w:eastAsia="等线" w:hAnsi="Times New Roman" w:cs="Times New Roman" w:hint="eastAsia"/>
                <w:b/>
                <w:bCs/>
                <w:color w:val="000000"/>
                <w:kern w:val="0"/>
                <w:sz w:val="24"/>
                <w:szCs w:val="24"/>
              </w:rPr>
              <w:t>T</w:t>
            </w:r>
            <w:r>
              <w:rPr>
                <w:rFonts w:ascii="Times New Roman" w:eastAsia="等线" w:hAnsi="Times New Roman" w:cs="Times New Roman"/>
                <w:b/>
                <w:bCs/>
                <w:color w:val="000000"/>
                <w:kern w:val="0"/>
                <w:sz w:val="24"/>
                <w:szCs w:val="24"/>
              </w:rPr>
              <w:t>Fs</w:t>
            </w:r>
          </w:p>
        </w:tc>
        <w:tc>
          <w:tcPr>
            <w:tcW w:w="1269" w:type="dxa"/>
            <w:tcBorders>
              <w:top w:val="single" w:sz="12" w:space="0" w:color="auto"/>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b/>
                <w:bCs/>
                <w:color w:val="000000"/>
                <w:kern w:val="0"/>
                <w:sz w:val="24"/>
                <w:szCs w:val="24"/>
              </w:rPr>
            </w:pPr>
            <w:r>
              <w:rPr>
                <w:rFonts w:ascii="Times New Roman" w:eastAsia="等线" w:hAnsi="Times New Roman" w:cs="Times New Roman"/>
                <w:b/>
                <w:bCs/>
                <w:color w:val="000000"/>
                <w:kern w:val="0"/>
                <w:sz w:val="24"/>
                <w:szCs w:val="24"/>
              </w:rPr>
              <w:t>coefficient</w:t>
            </w:r>
          </w:p>
        </w:tc>
        <w:tc>
          <w:tcPr>
            <w:tcW w:w="2751" w:type="dxa"/>
            <w:tcBorders>
              <w:top w:val="single" w:sz="12" w:space="0" w:color="auto"/>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b/>
                <w:bCs/>
                <w:color w:val="000000"/>
                <w:kern w:val="0"/>
                <w:sz w:val="24"/>
                <w:szCs w:val="24"/>
              </w:rPr>
            </w:pPr>
            <w:r>
              <w:rPr>
                <w:rFonts w:ascii="Times New Roman" w:eastAsia="等线" w:hAnsi="Times New Roman" w:cs="Times New Roman"/>
                <w:b/>
                <w:bCs/>
                <w:color w:val="000000"/>
                <w:kern w:val="0"/>
                <w:sz w:val="24"/>
                <w:szCs w:val="24"/>
              </w:rPr>
              <w:t>HR (95% CI)</w:t>
            </w:r>
          </w:p>
        </w:tc>
        <w:tc>
          <w:tcPr>
            <w:tcW w:w="1048" w:type="dxa"/>
            <w:tcBorders>
              <w:top w:val="single" w:sz="12" w:space="0" w:color="auto"/>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b/>
                <w:bCs/>
                <w:color w:val="000000"/>
                <w:kern w:val="0"/>
                <w:sz w:val="24"/>
                <w:szCs w:val="24"/>
              </w:rPr>
            </w:pPr>
            <w:r>
              <w:rPr>
                <w:rFonts w:ascii="Times New Roman" w:eastAsia="等线" w:hAnsi="Times New Roman" w:cs="Times New Roman"/>
                <w:b/>
                <w:bCs/>
                <w:color w:val="000000"/>
                <w:kern w:val="0"/>
                <w:sz w:val="24"/>
                <w:szCs w:val="24"/>
              </w:rPr>
              <w:t>P-value</w:t>
            </w:r>
          </w:p>
        </w:tc>
      </w:tr>
      <w:tr w:rsidR="00EA41F6">
        <w:trPr>
          <w:trHeight w:val="510"/>
          <w:jc w:val="center"/>
        </w:trPr>
        <w:tc>
          <w:tcPr>
            <w:tcW w:w="1137" w:type="dxa"/>
            <w:tcBorders>
              <w:top w:val="single" w:sz="4" w:space="0" w:color="auto"/>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MXI1</w:t>
            </w:r>
          </w:p>
        </w:tc>
        <w:tc>
          <w:tcPr>
            <w:tcW w:w="1269" w:type="dxa"/>
            <w:tcBorders>
              <w:top w:val="single" w:sz="4" w:space="0" w:color="auto"/>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-0.2059</w:t>
            </w:r>
          </w:p>
        </w:tc>
        <w:tc>
          <w:tcPr>
            <w:tcW w:w="2751" w:type="dxa"/>
            <w:tcBorders>
              <w:top w:val="single" w:sz="4" w:space="0" w:color="auto"/>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0.8139(0.7211-0.9186)</w:t>
            </w:r>
          </w:p>
        </w:tc>
        <w:tc>
          <w:tcPr>
            <w:tcW w:w="1048" w:type="dxa"/>
            <w:tcBorders>
              <w:top w:val="single" w:sz="4" w:space="0" w:color="auto"/>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0.00085</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CEBPD</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0.1899</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1.2091(1.0741-1.3611)</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0.00167</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FOSL1</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0.1389</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1.149(1.0414-1.2677)</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0.00563</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MAFF</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0.117</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1.1241(1.0296-1.2273)</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0.00906</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HDAC2</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-0.1429</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0.8668(0.7655-0.9816)</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0.02432</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YY1</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-0.2813</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0.7548(0.5845-0.9747)</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0.03107</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BCLAF1</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-0.0651</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0.937(0.7975-1.1007)</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0.42821</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HCFC1</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-0.1026</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0.9025(0.6766-1.2038)</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0.48512</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KLF3</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0.0657</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1.0679(0.8701-1.3107)</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0.52945</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FOXO3</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-0.0377</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0.963(0.8367-1.1084)</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0.5992</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ZBTB7A</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0.1084</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1.1145(0.6617-1.8771)</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0.68365</w:t>
            </w:r>
          </w:p>
        </w:tc>
      </w:tr>
      <w:tr w:rsidR="00EA41F6">
        <w:trPr>
          <w:trHeight w:val="510"/>
          <w:jc w:val="center"/>
        </w:trPr>
        <w:tc>
          <w:tcPr>
            <w:tcW w:w="1137"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ERF</w:t>
            </w:r>
          </w:p>
        </w:tc>
        <w:tc>
          <w:tcPr>
            <w:tcW w:w="1269"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0.0181</w:t>
            </w:r>
          </w:p>
        </w:tc>
        <w:tc>
          <w:tcPr>
            <w:tcW w:w="2751"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1.0183(0.8753-1.1846)</w:t>
            </w:r>
          </w:p>
        </w:tc>
        <w:tc>
          <w:tcPr>
            <w:tcW w:w="1048" w:type="dxa"/>
            <w:tcBorders>
              <w:top w:val="nil"/>
              <w:left w:val="nil"/>
              <w:bottom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0.81458</w:t>
            </w:r>
          </w:p>
        </w:tc>
      </w:tr>
      <w:tr w:rsidR="00EA41F6">
        <w:trPr>
          <w:trHeight w:val="510"/>
          <w:jc w:val="center"/>
        </w:trPr>
        <w:tc>
          <w:tcPr>
            <w:tcW w:w="1137" w:type="dxa"/>
            <w:tcBorders>
              <w:top w:val="nil"/>
              <w:left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SP2</w:t>
            </w:r>
          </w:p>
        </w:tc>
        <w:tc>
          <w:tcPr>
            <w:tcW w:w="1269" w:type="dxa"/>
            <w:tcBorders>
              <w:top w:val="nil"/>
              <w:left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-0.0362</w:t>
            </w:r>
          </w:p>
        </w:tc>
        <w:tc>
          <w:tcPr>
            <w:tcW w:w="2751" w:type="dxa"/>
            <w:tcBorders>
              <w:top w:val="nil"/>
              <w:left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0.9645(0.6608-1.4076)</w:t>
            </w:r>
          </w:p>
        </w:tc>
        <w:tc>
          <w:tcPr>
            <w:tcW w:w="1048" w:type="dxa"/>
            <w:tcBorders>
              <w:top w:val="nil"/>
              <w:left w:val="nil"/>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0.85117</w:t>
            </w:r>
          </w:p>
        </w:tc>
      </w:tr>
      <w:tr w:rsidR="00EA41F6">
        <w:trPr>
          <w:trHeight w:val="510"/>
          <w:jc w:val="center"/>
        </w:trPr>
        <w:tc>
          <w:tcPr>
            <w:tcW w:w="1137" w:type="dxa"/>
            <w:tcBorders>
              <w:top w:val="nil"/>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GABPB2</w:t>
            </w:r>
          </w:p>
        </w:tc>
        <w:tc>
          <w:tcPr>
            <w:tcW w:w="1269" w:type="dxa"/>
            <w:tcBorders>
              <w:top w:val="nil"/>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-0.0128</w:t>
            </w:r>
          </w:p>
        </w:tc>
        <w:tc>
          <w:tcPr>
            <w:tcW w:w="2751" w:type="dxa"/>
            <w:tcBorders>
              <w:top w:val="nil"/>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0.9873(0.8443-1.1544)</w:t>
            </w:r>
          </w:p>
        </w:tc>
        <w:tc>
          <w:tcPr>
            <w:tcW w:w="1048" w:type="dxa"/>
            <w:tcBorders>
              <w:top w:val="nil"/>
              <w:left w:val="nil"/>
              <w:bottom w:val="single" w:sz="4" w:space="0" w:color="auto"/>
              <w:right w:val="nil"/>
            </w:tcBorders>
            <w:shd w:val="clear" w:color="auto" w:fill="auto"/>
            <w:noWrap/>
            <w:vAlign w:val="center"/>
          </w:tcPr>
          <w:p w:rsidR="00EA41F6" w:rsidRDefault="00D950BE">
            <w:pPr>
              <w:widowControl/>
              <w:jc w:val="center"/>
              <w:rPr>
                <w:rFonts w:ascii="Times New Roman" w:eastAsia="等线" w:hAnsi="Times New Roman" w:cs="Times New Roman"/>
                <w:color w:val="000000"/>
                <w:kern w:val="0"/>
                <w:sz w:val="24"/>
                <w:szCs w:val="24"/>
              </w:rPr>
            </w:pPr>
            <w:r>
              <w:rPr>
                <w:rFonts w:ascii="Times New Roman" w:eastAsia="等线" w:hAnsi="Times New Roman" w:cs="Times New Roman"/>
                <w:color w:val="000000"/>
                <w:kern w:val="0"/>
                <w:sz w:val="24"/>
                <w:szCs w:val="24"/>
              </w:rPr>
              <w:t>0.87233</w:t>
            </w:r>
          </w:p>
        </w:tc>
      </w:tr>
    </w:tbl>
    <w:p w:rsidR="00EA41F6" w:rsidRDefault="00EA41F6">
      <w:pPr>
        <w:spacing w:line="360" w:lineRule="auto"/>
        <w:rPr>
          <w:rFonts w:ascii="Times New Roman" w:hAnsi="Times New Roman" w:cs="Times New Roman"/>
          <w:sz w:val="24"/>
          <w:szCs w:val="24"/>
        </w:rPr>
      </w:pPr>
    </w:p>
    <w:p w:rsidR="00EA41F6" w:rsidRDefault="00EA41F6"/>
    <w:sectPr w:rsidR="00EA41F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1176" w:rsidRDefault="00F91176" w:rsidP="00204ACC">
      <w:r>
        <w:separator/>
      </w:r>
    </w:p>
  </w:endnote>
  <w:endnote w:type="continuationSeparator" w:id="0">
    <w:p w:rsidR="00F91176" w:rsidRDefault="00F91176" w:rsidP="00204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1176" w:rsidRDefault="00F91176" w:rsidP="00204ACC">
      <w:r>
        <w:separator/>
      </w:r>
    </w:p>
  </w:footnote>
  <w:footnote w:type="continuationSeparator" w:id="0">
    <w:p w:rsidR="00F91176" w:rsidRDefault="00F91176" w:rsidP="00204AC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MxZjMyODE3ZDVjOTRjYjNjN2U4ZWY3YTU0MjUxMmIifQ=="/>
  </w:docVars>
  <w:rsids>
    <w:rsidRoot w:val="003556B3"/>
    <w:rsid w:val="000402A8"/>
    <w:rsid w:val="00046035"/>
    <w:rsid w:val="00072317"/>
    <w:rsid w:val="00080AE6"/>
    <w:rsid w:val="000E7A44"/>
    <w:rsid w:val="000F1917"/>
    <w:rsid w:val="0010171C"/>
    <w:rsid w:val="00102EF5"/>
    <w:rsid w:val="001145F4"/>
    <w:rsid w:val="00132FDA"/>
    <w:rsid w:val="00141F27"/>
    <w:rsid w:val="00144FE1"/>
    <w:rsid w:val="00182A23"/>
    <w:rsid w:val="00183AAC"/>
    <w:rsid w:val="001A0330"/>
    <w:rsid w:val="001C14EF"/>
    <w:rsid w:val="00204ACC"/>
    <w:rsid w:val="002268C7"/>
    <w:rsid w:val="002809E6"/>
    <w:rsid w:val="002F3827"/>
    <w:rsid w:val="002F6846"/>
    <w:rsid w:val="003002F3"/>
    <w:rsid w:val="003152B0"/>
    <w:rsid w:val="003264E3"/>
    <w:rsid w:val="0032665A"/>
    <w:rsid w:val="003556B3"/>
    <w:rsid w:val="00374030"/>
    <w:rsid w:val="00397ACB"/>
    <w:rsid w:val="003A31B1"/>
    <w:rsid w:val="003B7B36"/>
    <w:rsid w:val="003E1FE4"/>
    <w:rsid w:val="003E5F9A"/>
    <w:rsid w:val="00400545"/>
    <w:rsid w:val="0045041B"/>
    <w:rsid w:val="00450A06"/>
    <w:rsid w:val="004554A9"/>
    <w:rsid w:val="004D7E8C"/>
    <w:rsid w:val="00514BDA"/>
    <w:rsid w:val="00536F8C"/>
    <w:rsid w:val="00542DC6"/>
    <w:rsid w:val="00595A8E"/>
    <w:rsid w:val="00596B99"/>
    <w:rsid w:val="005A5DB3"/>
    <w:rsid w:val="005A7F87"/>
    <w:rsid w:val="005E6867"/>
    <w:rsid w:val="00641484"/>
    <w:rsid w:val="0065675E"/>
    <w:rsid w:val="006C2564"/>
    <w:rsid w:val="007034A9"/>
    <w:rsid w:val="00736F65"/>
    <w:rsid w:val="00765F5B"/>
    <w:rsid w:val="007A1FC2"/>
    <w:rsid w:val="007E39AD"/>
    <w:rsid w:val="00860BC4"/>
    <w:rsid w:val="00866CA4"/>
    <w:rsid w:val="00923E89"/>
    <w:rsid w:val="00993A9B"/>
    <w:rsid w:val="009C1C39"/>
    <w:rsid w:val="009F362F"/>
    <w:rsid w:val="009F7B2B"/>
    <w:rsid w:val="00A22BB0"/>
    <w:rsid w:val="00A41BFB"/>
    <w:rsid w:val="00A53152"/>
    <w:rsid w:val="00A97200"/>
    <w:rsid w:val="00AB0E83"/>
    <w:rsid w:val="00B67A5E"/>
    <w:rsid w:val="00BC79E9"/>
    <w:rsid w:val="00BD098C"/>
    <w:rsid w:val="00BD2641"/>
    <w:rsid w:val="00BD2813"/>
    <w:rsid w:val="00BE2285"/>
    <w:rsid w:val="00C518D6"/>
    <w:rsid w:val="00C54207"/>
    <w:rsid w:val="00CC5875"/>
    <w:rsid w:val="00D07F65"/>
    <w:rsid w:val="00D152A7"/>
    <w:rsid w:val="00D171B1"/>
    <w:rsid w:val="00D47707"/>
    <w:rsid w:val="00D51889"/>
    <w:rsid w:val="00D65E2D"/>
    <w:rsid w:val="00D950BE"/>
    <w:rsid w:val="00DF26AB"/>
    <w:rsid w:val="00DF27D0"/>
    <w:rsid w:val="00E92DBF"/>
    <w:rsid w:val="00EA407F"/>
    <w:rsid w:val="00EA41F6"/>
    <w:rsid w:val="00EE10DA"/>
    <w:rsid w:val="00EF5559"/>
    <w:rsid w:val="00F41517"/>
    <w:rsid w:val="00F85BEC"/>
    <w:rsid w:val="00F91176"/>
    <w:rsid w:val="00FA1D03"/>
    <w:rsid w:val="00FD717B"/>
    <w:rsid w:val="7ED773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D212F16-8001-0C4C-9B09-CB200B41E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styleId="a5">
    <w:name w:val="Hyperlink"/>
    <w:basedOn w:val="a0"/>
    <w:uiPriority w:val="99"/>
    <w:unhideWhenUsed/>
    <w:qFormat/>
    <w:rPr>
      <w:color w:val="0563C1" w:themeColor="hyperlink"/>
      <w:u w:val="single"/>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rPr>
      <w:sz w:val="18"/>
      <w:szCs w:val="18"/>
    </w:rPr>
  </w:style>
  <w:style w:type="paragraph" w:customStyle="1" w:styleId="Revision1">
    <w:name w:val="Revision1"/>
    <w:hidden/>
    <w:uiPriority w:val="99"/>
    <w:semiHidden/>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Pages>
  <Words>1132</Words>
  <Characters>6455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张艳茹</dc:creator>
  <cp:lastModifiedBy>Administrator</cp:lastModifiedBy>
  <cp:revision>11</cp:revision>
  <cp:lastPrinted>2022-11-24T06:01:00Z</cp:lastPrinted>
  <dcterms:created xsi:type="dcterms:W3CDTF">2023-06-12T03:44:00Z</dcterms:created>
  <dcterms:modified xsi:type="dcterms:W3CDTF">2023-06-19T07:57:00Z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CCD10BFB07834BDF90F75ED065DAF919_12</vt:lpwstr>
  </property>
</Properties>
</file>